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sz w:val="28"/>
          <w:szCs w:val="28"/>
        </w:rPr>
      </w:pPr>
      <w:r>
        <w:rPr>
          <w:rFonts w:hint="eastAsia" w:ascii="黑体" w:hAnsi="宋体" w:eastAsia="黑体"/>
          <w:sz w:val="28"/>
          <w:szCs w:val="28"/>
        </w:rPr>
        <w:t>附件2：</w:t>
      </w:r>
    </w:p>
    <w:p>
      <w:pPr>
        <w:ind w:firstLine="600" w:firstLineChars="200"/>
        <w:rPr>
          <w:rFonts w:hint="eastAsia" w:ascii="仿宋" w:hAnsi="仿宋" w:eastAsia="仿宋"/>
          <w:sz w:val="30"/>
          <w:szCs w:val="30"/>
        </w:rPr>
      </w:pPr>
    </w:p>
    <w:p>
      <w:pPr>
        <w:ind w:firstLine="600" w:firstLineChars="200"/>
        <w:rPr>
          <w:rFonts w:ascii="仿宋" w:hAnsi="仿宋" w:eastAsia="仿宋"/>
          <w:sz w:val="30"/>
          <w:szCs w:val="30"/>
        </w:rPr>
      </w:pPr>
    </w:p>
    <w:p>
      <w:pPr>
        <w:jc w:val="center"/>
        <w:rPr>
          <w:rFonts w:eastAsia="方正小标宋简体"/>
          <w:sz w:val="40"/>
          <w:szCs w:val="40"/>
        </w:rPr>
      </w:pPr>
      <w:r>
        <w:rPr>
          <w:rFonts w:eastAsia="方正小标宋简体"/>
          <w:sz w:val="40"/>
          <w:szCs w:val="40"/>
        </w:rPr>
        <w:t>201</w:t>
      </w:r>
      <w:r>
        <w:rPr>
          <w:rFonts w:hint="eastAsia" w:eastAsia="方正小标宋简体"/>
          <w:sz w:val="40"/>
          <w:szCs w:val="40"/>
          <w:lang w:val="en-US" w:eastAsia="zh-CN"/>
        </w:rPr>
        <w:t>9</w:t>
      </w:r>
      <w:r>
        <w:rPr>
          <w:rFonts w:eastAsia="方正小标宋简体"/>
          <w:sz w:val="40"/>
          <w:szCs w:val="40"/>
        </w:rPr>
        <w:t>年增列硕士专业学位授权点申请表</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hint="eastAsia" w:ascii="仿宋" w:hAnsi="仿宋" w:eastAsia="仿宋"/>
          <w:sz w:val="30"/>
          <w:szCs w:val="30"/>
        </w:rPr>
      </w:pPr>
    </w:p>
    <w:tbl>
      <w:tblPr>
        <w:tblStyle w:val="7"/>
        <w:tblW w:w="9160" w:type="dxa"/>
        <w:jc w:val="center"/>
        <w:tblInd w:w="0" w:type="dxa"/>
        <w:tblLayout w:type="fixed"/>
        <w:tblCellMar>
          <w:top w:w="0" w:type="dxa"/>
          <w:left w:w="108" w:type="dxa"/>
          <w:bottom w:w="0" w:type="dxa"/>
          <w:right w:w="108" w:type="dxa"/>
        </w:tblCellMar>
      </w:tblPr>
      <w:tblGrid>
        <w:gridCol w:w="4546"/>
        <w:gridCol w:w="4614"/>
      </w:tblGrid>
      <w:tr>
        <w:tblPrEx>
          <w:tblLayout w:type="fixed"/>
          <w:tblCellMar>
            <w:top w:w="0" w:type="dxa"/>
            <w:left w:w="108" w:type="dxa"/>
            <w:bottom w:w="0" w:type="dxa"/>
            <w:right w:w="108" w:type="dxa"/>
          </w:tblCellMar>
        </w:tblPrEx>
        <w:trPr>
          <w:trHeight w:val="1287" w:hRule="atLeast"/>
          <w:jc w:val="center"/>
        </w:trPr>
        <w:tc>
          <w:tcPr>
            <w:tcW w:w="4546" w:type="dxa"/>
            <w:noWrap w:val="0"/>
            <w:vAlign w:val="center"/>
          </w:tcPr>
          <w:p>
            <w:pPr>
              <w:jc w:val="distribute"/>
              <w:rPr>
                <w:rFonts w:hint="eastAsia" w:ascii="方正仿宋简体" w:hAnsi="仿宋" w:eastAsia="方正仿宋简体"/>
                <w:sz w:val="32"/>
                <w:szCs w:val="32"/>
              </w:rPr>
            </w:pPr>
            <w:r>
              <w:rPr>
                <w:rFonts w:hint="eastAsia" w:ascii="方正仿宋简体" w:hAnsi="仿宋" w:eastAsia="方正仿宋简体"/>
                <w:sz w:val="32"/>
                <w:szCs w:val="32"/>
              </w:rPr>
              <w:t>硕士专业学位类别（工程领域）：</w:t>
            </w:r>
          </w:p>
        </w:tc>
        <w:tc>
          <w:tcPr>
            <w:tcW w:w="4614" w:type="dxa"/>
            <w:noWrap w:val="0"/>
            <w:vAlign w:val="center"/>
          </w:tcPr>
          <w:p>
            <w:pPr>
              <w:rPr>
                <w:rFonts w:hint="eastAsia" w:ascii="方正仿宋简体" w:hAnsi="仿宋" w:eastAsia="方正仿宋简体"/>
                <w:sz w:val="32"/>
                <w:szCs w:val="32"/>
              </w:rPr>
            </w:pPr>
            <w:r>
              <w:rPr>
                <w:rFonts w:hint="eastAsia" w:ascii="方正仿宋简体" w:hAnsi="仿宋" w:eastAsia="方正仿宋简体"/>
                <w:sz w:val="32"/>
                <w:szCs w:val="32"/>
                <w:u w:val="single"/>
                <w:lang w:val="en-US" w:eastAsia="zh-CN"/>
              </w:rPr>
              <w:t xml:space="preserve">        艺术硕士      </w:t>
            </w:r>
          </w:p>
        </w:tc>
      </w:tr>
      <w:tr>
        <w:tblPrEx>
          <w:tblLayout w:type="fixed"/>
          <w:tblCellMar>
            <w:top w:w="0" w:type="dxa"/>
            <w:left w:w="108" w:type="dxa"/>
            <w:bottom w:w="0" w:type="dxa"/>
            <w:right w:w="108" w:type="dxa"/>
          </w:tblCellMar>
        </w:tblPrEx>
        <w:trPr>
          <w:trHeight w:val="1415" w:hRule="atLeast"/>
          <w:jc w:val="center"/>
        </w:trPr>
        <w:tc>
          <w:tcPr>
            <w:tcW w:w="4546" w:type="dxa"/>
            <w:noWrap w:val="0"/>
            <w:vAlign w:val="center"/>
          </w:tcPr>
          <w:p>
            <w:pPr>
              <w:jc w:val="distribute"/>
              <w:rPr>
                <w:rFonts w:hint="eastAsia" w:ascii="方正仿宋简体" w:hAnsi="仿宋" w:eastAsia="方正仿宋简体"/>
                <w:sz w:val="32"/>
                <w:szCs w:val="32"/>
              </w:rPr>
            </w:pPr>
            <w:r>
              <w:rPr>
                <w:rFonts w:hint="eastAsia" w:ascii="方正仿宋简体" w:hAnsi="仿宋" w:eastAsia="方正仿宋简体"/>
                <w:sz w:val="32"/>
                <w:szCs w:val="32"/>
              </w:rPr>
              <w:t>申报单位名称：</w:t>
            </w:r>
          </w:p>
        </w:tc>
        <w:tc>
          <w:tcPr>
            <w:tcW w:w="4614" w:type="dxa"/>
            <w:noWrap w:val="0"/>
            <w:vAlign w:val="center"/>
          </w:tcPr>
          <w:p>
            <w:pPr>
              <w:rPr>
                <w:rFonts w:hint="eastAsia" w:ascii="方正仿宋简体" w:hAnsi="仿宋" w:eastAsia="方正仿宋简体"/>
                <w:sz w:val="32"/>
                <w:szCs w:val="32"/>
              </w:rPr>
            </w:pPr>
            <w:r>
              <w:rPr>
                <w:rFonts w:hint="eastAsia" w:ascii="方正仿宋简体" w:hAnsi="仿宋" w:eastAsia="方正仿宋简体"/>
                <w:sz w:val="32"/>
                <w:szCs w:val="32"/>
                <w:u w:val="single"/>
                <w:lang w:val="en-US" w:eastAsia="zh-CN"/>
              </w:rPr>
              <w:t xml:space="preserve">     </w:t>
            </w:r>
            <w:r>
              <w:rPr>
                <w:rFonts w:hint="eastAsia" w:ascii="方正仿宋简体" w:hAnsi="仿宋" w:eastAsia="方正仿宋简体"/>
                <w:sz w:val="32"/>
                <w:szCs w:val="32"/>
                <w:u w:val="single"/>
                <w:lang w:eastAsia="zh-CN"/>
              </w:rPr>
              <w:t>天津体育学院</w:t>
            </w:r>
            <w:r>
              <w:rPr>
                <w:rFonts w:hint="eastAsia" w:ascii="方正仿宋简体" w:hAnsi="仿宋" w:eastAsia="方正仿宋简体"/>
                <w:sz w:val="32"/>
                <w:szCs w:val="32"/>
                <w:u w:val="single"/>
                <w:lang w:val="en-US" w:eastAsia="zh-CN"/>
              </w:rPr>
              <w:t xml:space="preserve">     </w:t>
            </w:r>
          </w:p>
        </w:tc>
      </w:tr>
    </w:tbl>
    <w:p>
      <w:pPr>
        <w:tabs>
          <w:tab w:val="left" w:pos="480"/>
        </w:tabs>
        <w:spacing w:line="400" w:lineRule="exact"/>
        <w:jc w:val="center"/>
        <w:outlineLvl w:val="0"/>
        <w:rPr>
          <w:rFonts w:hint="eastAsia" w:ascii="宋体" w:hAnsi="宋体"/>
          <w:b/>
          <w:sz w:val="32"/>
        </w:rPr>
      </w:pPr>
    </w:p>
    <w:p>
      <w:pPr>
        <w:tabs>
          <w:tab w:val="left" w:pos="480"/>
        </w:tabs>
        <w:spacing w:line="312" w:lineRule="auto"/>
        <w:jc w:val="center"/>
        <w:outlineLvl w:val="0"/>
        <w:rPr>
          <w:rFonts w:ascii="仿宋" w:hAnsi="仿宋" w:eastAsia="仿宋" w:cs="仿宋"/>
          <w:b/>
          <w:bCs/>
          <w:spacing w:val="24"/>
          <w:sz w:val="32"/>
        </w:rPr>
      </w:pPr>
    </w:p>
    <w:p>
      <w:pPr>
        <w:tabs>
          <w:tab w:val="left" w:pos="480"/>
        </w:tabs>
        <w:spacing w:line="312" w:lineRule="auto"/>
        <w:jc w:val="center"/>
        <w:outlineLvl w:val="0"/>
        <w:rPr>
          <w:rFonts w:ascii="仿宋" w:hAnsi="仿宋" w:eastAsia="仿宋" w:cs="仿宋"/>
          <w:b/>
          <w:bCs/>
          <w:spacing w:val="24"/>
          <w:sz w:val="32"/>
        </w:rPr>
      </w:pPr>
    </w:p>
    <w:p>
      <w:pPr>
        <w:tabs>
          <w:tab w:val="left" w:pos="480"/>
        </w:tabs>
        <w:spacing w:line="312" w:lineRule="auto"/>
        <w:jc w:val="center"/>
        <w:outlineLvl w:val="0"/>
        <w:rPr>
          <w:rFonts w:hint="eastAsia" w:ascii="仿宋" w:hAnsi="仿宋" w:eastAsia="仿宋" w:cs="仿宋"/>
          <w:b/>
          <w:bCs/>
          <w:spacing w:val="24"/>
          <w:sz w:val="32"/>
        </w:rPr>
      </w:pPr>
    </w:p>
    <w:p>
      <w:pPr>
        <w:tabs>
          <w:tab w:val="left" w:pos="480"/>
        </w:tabs>
        <w:spacing w:line="312" w:lineRule="auto"/>
        <w:jc w:val="center"/>
        <w:outlineLvl w:val="0"/>
        <w:rPr>
          <w:rFonts w:hint="eastAsia" w:ascii="仿宋" w:hAnsi="仿宋" w:eastAsia="仿宋" w:cs="仿宋"/>
          <w:b/>
          <w:bCs/>
          <w:spacing w:val="24"/>
          <w:sz w:val="32"/>
        </w:rPr>
      </w:pPr>
    </w:p>
    <w:p>
      <w:pPr>
        <w:tabs>
          <w:tab w:val="left" w:pos="480"/>
        </w:tabs>
        <w:spacing w:line="312" w:lineRule="auto"/>
        <w:jc w:val="center"/>
        <w:outlineLvl w:val="0"/>
        <w:rPr>
          <w:rFonts w:hint="eastAsia" w:ascii="仿宋" w:hAnsi="仿宋" w:eastAsia="仿宋" w:cs="仿宋"/>
          <w:b/>
          <w:bCs/>
          <w:spacing w:val="24"/>
          <w:sz w:val="32"/>
        </w:rPr>
      </w:pPr>
    </w:p>
    <w:p>
      <w:pPr>
        <w:tabs>
          <w:tab w:val="left" w:pos="480"/>
        </w:tabs>
        <w:spacing w:line="312" w:lineRule="auto"/>
        <w:jc w:val="center"/>
        <w:outlineLvl w:val="0"/>
        <w:rPr>
          <w:rFonts w:hint="eastAsia" w:ascii="仿宋" w:hAnsi="仿宋" w:eastAsia="仿宋" w:cs="仿宋"/>
          <w:b/>
          <w:bCs/>
          <w:spacing w:val="24"/>
          <w:sz w:val="32"/>
        </w:rPr>
      </w:pPr>
    </w:p>
    <w:p>
      <w:pPr>
        <w:tabs>
          <w:tab w:val="left" w:pos="480"/>
        </w:tabs>
        <w:spacing w:line="312" w:lineRule="auto"/>
        <w:jc w:val="center"/>
        <w:outlineLvl w:val="0"/>
        <w:rPr>
          <w:rFonts w:hint="eastAsia" w:ascii="楷体_GB2312" w:hAnsi="仿宋" w:eastAsia="楷体_GB2312" w:cs="仿宋"/>
          <w:bCs/>
          <w:spacing w:val="24"/>
          <w:sz w:val="32"/>
        </w:rPr>
      </w:pPr>
      <w:r>
        <w:rPr>
          <w:rFonts w:hint="eastAsia" w:ascii="楷体_GB2312" w:hAnsi="仿宋" w:eastAsia="楷体_GB2312" w:cs="仿宋"/>
          <w:bCs/>
          <w:spacing w:val="24"/>
          <w:sz w:val="32"/>
        </w:rPr>
        <w:t>国务院学位委员会办公室制表</w:t>
      </w:r>
    </w:p>
    <w:p>
      <w:pPr>
        <w:widowControl/>
        <w:jc w:val="center"/>
        <w:rPr>
          <w:rFonts w:ascii="楷体_GB2312" w:hAnsi="仿宋" w:eastAsia="楷体_GB2312" w:cs="仿宋"/>
          <w:bCs/>
          <w:spacing w:val="24"/>
          <w:sz w:val="32"/>
        </w:rPr>
      </w:pPr>
      <w:r>
        <w:rPr>
          <w:rFonts w:hint="eastAsia" w:ascii="楷体_GB2312" w:hAnsi="仿宋" w:eastAsia="楷体_GB2312" w:cs="仿宋"/>
          <w:bCs/>
          <w:spacing w:val="24"/>
          <w:sz w:val="32"/>
        </w:rPr>
        <w:t>年  月  日填</w:t>
      </w:r>
    </w:p>
    <w:p>
      <w:pPr>
        <w:numPr>
          <w:ilvl w:val="0"/>
          <w:numId w:val="0"/>
        </w:numPr>
        <w:spacing w:line="360" w:lineRule="auto"/>
        <w:jc w:val="center"/>
        <w:rPr>
          <w:rFonts w:hint="eastAsia" w:ascii="仿宋" w:hAnsi="仿宋" w:eastAsia="仿宋" w:cs="仿宋"/>
          <w:b/>
          <w:color w:val="000000"/>
          <w:sz w:val="32"/>
          <w:szCs w:val="32"/>
          <w:lang w:val="en-US" w:eastAsia="zh-CN"/>
        </w:rPr>
        <w:sectPr>
          <w:headerReference r:id="rId3" w:type="default"/>
          <w:footerReference r:id="rId4" w:type="default"/>
          <w:pgSz w:w="11906" w:h="16838"/>
          <w:pgMar w:top="1440" w:right="1418" w:bottom="1440" w:left="1418" w:header="851" w:footer="992" w:gutter="0"/>
          <w:pgNumType w:start="7"/>
          <w:cols w:space="720" w:num="1"/>
          <w:docGrid w:type="lines" w:linePitch="312" w:charSpace="0"/>
        </w:sectPr>
      </w:pPr>
    </w:p>
    <w:p>
      <w:pPr>
        <w:numPr>
          <w:ilvl w:val="0"/>
          <w:numId w:val="0"/>
        </w:numPr>
        <w:spacing w:line="360" w:lineRule="auto"/>
        <w:jc w:val="center"/>
        <w:rPr>
          <w:rFonts w:hint="eastAsia" w:ascii="仿宋" w:hAnsi="仿宋" w:eastAsia="仿宋" w:cs="仿宋"/>
          <w:b/>
          <w:color w:val="000000"/>
          <w:sz w:val="32"/>
          <w:szCs w:val="32"/>
          <w:lang w:val="en-US" w:eastAsia="zh-CN"/>
        </w:rPr>
      </w:pPr>
      <w:r>
        <w:rPr>
          <w:rFonts w:hint="eastAsia" w:ascii="仿宋" w:hAnsi="仿宋" w:eastAsia="仿宋" w:cs="仿宋"/>
          <w:b/>
          <w:color w:val="000000"/>
          <w:sz w:val="32"/>
          <w:szCs w:val="32"/>
          <w:lang w:val="en-US" w:eastAsia="zh-CN"/>
        </w:rPr>
        <w:t>天津体育学院增列艺术硕士学位申请书</w:t>
      </w:r>
    </w:p>
    <w:p>
      <w:pPr>
        <w:numPr>
          <w:ilvl w:val="0"/>
          <w:numId w:val="0"/>
        </w:numPr>
        <w:spacing w:line="360" w:lineRule="auto"/>
        <w:rPr>
          <w:rFonts w:hint="eastAsia" w:ascii="仿宋" w:hAnsi="仿宋" w:eastAsia="仿宋" w:cs="仿宋"/>
          <w:b/>
          <w:color w:val="000000"/>
          <w:sz w:val="28"/>
          <w:szCs w:val="28"/>
          <w:lang w:val="en-US" w:eastAsia="zh-CN"/>
        </w:rPr>
      </w:pPr>
    </w:p>
    <w:p>
      <w:pPr>
        <w:numPr>
          <w:ilvl w:val="0"/>
          <w:numId w:val="0"/>
        </w:numPr>
        <w:spacing w:line="360" w:lineRule="auto"/>
        <w:rPr>
          <w:rFonts w:hint="eastAsia" w:ascii="仿宋" w:hAnsi="仿宋" w:eastAsia="仿宋" w:cs="仿宋"/>
          <w:b/>
          <w:color w:val="000000"/>
          <w:sz w:val="28"/>
          <w:szCs w:val="28"/>
        </w:rPr>
      </w:pPr>
      <w:r>
        <w:rPr>
          <w:rFonts w:hint="eastAsia" w:ascii="仿宋" w:hAnsi="仿宋" w:eastAsia="仿宋" w:cs="仿宋"/>
          <w:b/>
          <w:color w:val="000000"/>
          <w:sz w:val="28"/>
          <w:szCs w:val="28"/>
          <w:lang w:val="en-US" w:eastAsia="zh-CN"/>
        </w:rPr>
        <w:t>一、</w:t>
      </w:r>
      <w:r>
        <w:rPr>
          <w:rFonts w:hint="eastAsia" w:ascii="仿宋" w:hAnsi="仿宋" w:eastAsia="仿宋" w:cs="仿宋"/>
          <w:b/>
          <w:color w:val="000000"/>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cs="仿宋"/>
          <w:b/>
          <w:color w:val="000000"/>
          <w:sz w:val="28"/>
          <w:szCs w:val="28"/>
        </w:rPr>
        <w:instrText xml:space="preserve">ADDIN CNKISM.UserStyle</w:instrText>
      </w:r>
      <w:r>
        <w:rPr>
          <w:rFonts w:hint="eastAsia" w:ascii="仿宋" w:hAnsi="仿宋" w:eastAsia="仿宋" w:cs="仿宋"/>
          <w:b/>
          <w:color w:val="000000"/>
          <w:sz w:val="28"/>
          <w:szCs w:val="28"/>
        </w:rPr>
        <w:fldChar w:fldCharType="end"/>
      </w:r>
      <w:r>
        <w:rPr>
          <w:rFonts w:hint="eastAsia" w:ascii="仿宋" w:hAnsi="仿宋" w:eastAsia="仿宋" w:cs="仿宋"/>
          <w:b/>
          <w:color w:val="000000"/>
          <w:sz w:val="28"/>
          <w:szCs w:val="28"/>
        </w:rPr>
        <w:t>专业人才需求与招生</w:t>
      </w:r>
    </w:p>
    <w:p>
      <w:pPr>
        <w:spacing w:line="360" w:lineRule="auto"/>
        <w:ind w:firstLine="562" w:firstLineChars="200"/>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lang w:eastAsia="zh-CN"/>
        </w:rPr>
        <w:t>（</w:t>
      </w:r>
      <w:r>
        <w:rPr>
          <w:rFonts w:hint="eastAsia" w:ascii="仿宋" w:hAnsi="仿宋" w:eastAsia="仿宋" w:cs="仿宋"/>
          <w:b/>
          <w:color w:val="000000"/>
          <w:kern w:val="0"/>
          <w:sz w:val="28"/>
          <w:szCs w:val="28"/>
          <w:lang w:val="en-US" w:eastAsia="zh-CN"/>
        </w:rPr>
        <w:t>一</w:t>
      </w:r>
      <w:r>
        <w:rPr>
          <w:rFonts w:hint="eastAsia" w:ascii="仿宋" w:hAnsi="仿宋" w:eastAsia="仿宋" w:cs="仿宋"/>
          <w:b/>
          <w:color w:val="000000"/>
          <w:kern w:val="0"/>
          <w:sz w:val="28"/>
          <w:szCs w:val="28"/>
          <w:lang w:eastAsia="zh-CN"/>
        </w:rPr>
        <w:t>）</w:t>
      </w:r>
      <w:r>
        <w:rPr>
          <w:rFonts w:hint="eastAsia" w:ascii="仿宋" w:hAnsi="仿宋" w:eastAsia="仿宋" w:cs="仿宋"/>
          <w:b/>
          <w:color w:val="000000"/>
          <w:kern w:val="0"/>
          <w:sz w:val="28"/>
          <w:szCs w:val="28"/>
        </w:rPr>
        <w:t>专业人才需求情况</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我国目前正处在经济文化飞速发展的重要时期，要实现中华民族伟大复兴的目标，文化的先导作用显得尤为重要，亟需大量具有较高艺术创新能力的实践型人才以服务于地方经济发展，增强文化软实力。我校艺术硕士（</w:t>
      </w:r>
      <w:r>
        <w:rPr>
          <w:rFonts w:hint="eastAsia" w:ascii="仿宋" w:hAnsi="仿宋" w:eastAsia="仿宋" w:cs="仿宋"/>
          <w:bCs/>
          <w:sz w:val="28"/>
          <w:szCs w:val="28"/>
          <w:lang w:val="en-US" w:eastAsia="zh-CN"/>
        </w:rPr>
        <w:t>体育</w:t>
      </w:r>
      <w:r>
        <w:rPr>
          <w:rFonts w:hint="eastAsia" w:ascii="仿宋" w:hAnsi="仿宋" w:eastAsia="仿宋" w:cs="仿宋"/>
          <w:bCs/>
          <w:sz w:val="28"/>
          <w:szCs w:val="28"/>
        </w:rPr>
        <w:t>舞蹈、</w:t>
      </w:r>
      <w:r>
        <w:rPr>
          <w:rFonts w:hint="eastAsia" w:ascii="仿宋" w:hAnsi="仿宋" w:eastAsia="仿宋" w:cs="仿宋"/>
          <w:bCs/>
          <w:sz w:val="28"/>
          <w:szCs w:val="28"/>
          <w:lang w:val="en-US" w:eastAsia="zh-CN"/>
        </w:rPr>
        <w:t>体育</w:t>
      </w:r>
      <w:r>
        <w:rPr>
          <w:rFonts w:hint="eastAsia" w:ascii="仿宋" w:hAnsi="仿宋" w:eastAsia="仿宋" w:cs="仿宋"/>
          <w:bCs/>
          <w:sz w:val="28"/>
          <w:szCs w:val="28"/>
        </w:rPr>
        <w:t>音乐方向）培养充分考虑了京津冀区域经济、文化发展的需求，以及对外文化交流需要，积极发展艺术教育，前景良好。在我校体育专业特色和艺术教育的办学经验和资历的基础上，打造具有天津体育学院特色的艺术硕士专业。</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近年来，中国教育事业发展蓬勃发展，艺术教育同样也呈现蒸蒸日上的前进趋势。各大院校都纷纷扩招，艺术专业人数不断增加。据统计，硕士研究生报名人数高涨，往届生读研比例提高。调查显示，超七成的考生读研的首要目的是提高就业竞争力。在找不到合适工作的情况下，普通综合院校毕业生中33％选择考研进修。</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长期以来，艺术学高层次人才培养存在的突出问题是，培养规格单一、培养类型以学术型为主，没有很好地体现艺术的特点和艺术人才成长规律，也不能很好地满足社会需求。由于艺术创作有很强的技艺性，专业成才周期长，专业性学习方式贯穿了小学、中学乃至大学阶段，而我国目前研究生的招生方式、培养模式和学位授予标准不利于这类人才的选拔和培养。这种状况导致许多极富艺术才能的人才失去了专业上继续提高的机会；少数进入研究生阶段学习的，主要精力是应付公共课程学习和学位论文写作，没有更多的时间去提高其最具光彩的专业技艺；大多数进入艺术创作专业攻读硕士学位的学生，并不具有出类拔萃的艺术才华，因而也很难通过研究生阶段的培养成为优秀的艺术创作人才；一些具有天赋与才能的尖子人才，不得不选择到国外同类院校学习深造。因此，适应艺术学科特点和人才成长规律以及社会需求，调整艺术学学位类型，在保留原有学术型人才培养模式的同时，增设艺术学专业学位，培养艺术学专业学位研究生已明显的成为制约我国社会经济发展需要，提高我国艺术教育的整体水平，促进艺术教育的国际化，建设社会主义先进文化重大课题。</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目前，建设一支以专职教师为主，数量和质量都能够满足学校艺术教育需要的艺术教师队伍，是提高我国学校艺术教育教学质量的关键，也是素质教育的重要组成部分。但是目前，全国中小学专职艺术教师35万余人，普通高校公共艺术教师专兼职近5000人，总量不足，整体素质偏低，地区分布严重不均衡，具有硕士学位的艺术教师更是寥寥无几。 截止到2002年底，我国文化系统从业人员168万人，其中，具有中级以上职称人员11万人，研究生学历占1%，本科学历占12%，大专学历占26%。因此，整个文化系统从业人员普遍学历偏低、知识结构不合理，整体素质亟待进一步提高。</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艺术创作工作者作为先进文化的代表者和社会主义精神文明的直接传播者，担负着 “以高尚的精神塑造人，以优秀的作品鼓舞人”的社会责任。如果没有一批技艺精湛、艺术素养深厚的高层次、应用型艺术专门人才，我国的艺术创作事业将很难承担起承前启后、继往开来的历史重任。培养一批德艺双馨的高层次、应用型艺术专门人才，具有极其重大的意义。</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二</w:t>
      </w:r>
      <w:r>
        <w:rPr>
          <w:rFonts w:hint="eastAsia" w:ascii="仿宋" w:hAnsi="仿宋" w:eastAsia="仿宋" w:cs="仿宋"/>
          <w:b/>
          <w:sz w:val="28"/>
          <w:szCs w:val="28"/>
          <w:lang w:eastAsia="zh-CN"/>
        </w:rPr>
        <w:t>）</w:t>
      </w:r>
      <w:r>
        <w:rPr>
          <w:rFonts w:hint="eastAsia" w:ascii="仿宋" w:hAnsi="仿宋" w:eastAsia="仿宋" w:cs="仿宋"/>
          <w:b/>
          <w:sz w:val="28"/>
          <w:szCs w:val="28"/>
        </w:rPr>
        <w:t>专业招生优势</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我校已开设的体育舞蹈学专业是体育学硕士的一级学科下的学术性硕士专业。体育舞蹈学专业是经国务院学位委员会办公室批准自主设立的体育学二级学科（专业），也是一门典型的综合学科和交叉学科，具有鲜明的开创性和时代特征。该学科利用舞蹈与体育的身体塑造以及表现形式的亲缘性为契合点，培养艺体融合的复合型实用性高级人才。资料显示，舞蹈相关专业的本科毕业生报考研究生的比例很高，录取比例却较低，这就为艺术学专业硕士学位教育提供了充足、稳定的生源。</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2012年，我校被增列为博士学位授予单位。目前，我校共有6个学位授予点，包括体育学一级学科博士学位授权点，体育学、教育学等两个一级学科硕士学位授权点，以及体育、应用心理、新闻与传播等三个硕士专业学位类别授权点。我校体育舞蹈学硕士研究生的培养，隶属于一级学科“体育学”。体育舞蹈学专业硕士研究生的教学经历和培养方案，为设置艺术学硕士（舞蹈和音乐方向）提供了重要的参考价值。</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2000年天津体育学院在全国高等体育院校中率先设置了舞蹈学本科专业，同时也是天津市普通高等院校首次创设舞蹈学专业。该专业以体育与舞蹈融合专业方向的办学优势，秉持天津体育学院“学贵立德、动必有道”的办学理念， 突出“体艺融合”特色，严格质量标准，在专业建设和办学实践中，形成了以学生为中心、艺术服务于人民的文化特质，在专业建设、人才培养、师资队伍建设、艺术实践、对外交流等方面取得丰硕成果，被评为国家级特色专业建设点、天津市品牌专业以及天津市优势特色专业，得到中央财政支持地方高校建设项目、天津市教委“十二五”“十三五”综合投资建设等500多万元投资，出版了《舞蹈音乐节奏训练》等几十本各级各类专业教材，获得校级以上优秀教学科研成果奖励十余项，办学水平在全国同类院校居于领先位置。</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我校办学基础雄厚，学校建设有环境一流、设施齐全的教学场馆、小剧场、演播室、琴房以及大学生活动中心等基础设施，为教学活动提供了完善的施展平台。学校经过多年建设，打造了一支包括国家一级演员、享受国务院特殊津贴的专家、博士、教授、德艺双馨优秀教师、天津市青年教师基本功竞赛获奖教师、天津市新长征突击手等在内的，职称与学历结构合理、学缘丰富、专业实践能力较强的优秀师资队伍。并随着本学科领域的发展与需要进行不断建设与完善。</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天津体育学院运动与文化艺术学院是我校合作办学的二级学院，是以培养我国急需的文化艺术与传媒类人才为主要办学定位的单位。学院目前开设了音乐表演、舞蹈表演、舞蹈学等专业，拥有一支年富力强、结构合理、专业突出、富有责任心的专职教师团队。建设有音乐实验中心、歌舞艺术训练中心等三大实验中心，包括了亚洲最大的舞蹈排练大楼、200间国际高标准琴房、演播厅、录音棚等教学基础设施。学院坚持国内教育与国际教育结合，艺术教育与科技教育融会，应用教育与精英教育互补；同时坚持艺术家与社会接轨、与市场接轨、与国际接轨、与时代接轨的办学理念。是天津体育学院的人才储备基地，为学校增设艺术学硕士（舞蹈和音乐方向）提供了大量稳定的生源。</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同时，艺术相关在职人员能力的提升需求量大，目前，我国众多的优秀艺术工作者、各类院校艺术专业的青年教师以及大量艺术类专业毕业生都渴望在本专业取得进一步深造。</w:t>
      </w:r>
    </w:p>
    <w:p>
      <w:pPr>
        <w:numPr>
          <w:ilvl w:val="0"/>
          <w:numId w:val="1"/>
        </w:numPr>
        <w:spacing w:line="360" w:lineRule="auto"/>
        <w:rPr>
          <w:rFonts w:hint="eastAsia" w:ascii="仿宋" w:hAnsi="仿宋" w:eastAsia="仿宋" w:cs="仿宋"/>
          <w:b/>
          <w:sz w:val="28"/>
          <w:szCs w:val="28"/>
        </w:rPr>
      </w:pPr>
      <w:r>
        <w:rPr>
          <w:rFonts w:hint="eastAsia" w:ascii="仿宋" w:hAnsi="仿宋" w:eastAsia="仿宋" w:cs="仿宋"/>
          <w:b/>
          <w:sz w:val="28"/>
          <w:szCs w:val="28"/>
        </w:rPr>
        <w:t>培养目标定位</w:t>
      </w:r>
    </w:p>
    <w:p>
      <w:pPr>
        <w:numPr>
          <w:ilvl w:val="0"/>
          <w:numId w:val="0"/>
        </w:numPr>
        <w:spacing w:line="360" w:lineRule="auto"/>
        <w:ind w:firstLine="562" w:firstLineChars="200"/>
        <w:rPr>
          <w:rFonts w:hint="eastAsia" w:ascii="仿宋" w:hAnsi="仿宋" w:eastAsia="仿宋" w:cs="仿宋"/>
          <w:bCs/>
          <w:sz w:val="28"/>
          <w:szCs w:val="28"/>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一</w:t>
      </w:r>
      <w:r>
        <w:rPr>
          <w:rFonts w:hint="eastAsia" w:ascii="仿宋" w:hAnsi="仿宋" w:eastAsia="仿宋" w:cs="仿宋"/>
          <w:b/>
          <w:sz w:val="28"/>
          <w:szCs w:val="28"/>
          <w:lang w:eastAsia="zh-CN"/>
        </w:rPr>
        <w:t>）</w:t>
      </w:r>
      <w:r>
        <w:rPr>
          <w:rFonts w:hint="eastAsia" w:ascii="仿宋" w:hAnsi="仿宋" w:eastAsia="仿宋" w:cs="仿宋"/>
          <w:b/>
          <w:sz w:val="28"/>
          <w:szCs w:val="28"/>
        </w:rPr>
        <w:t>人才培养目标</w:t>
      </w:r>
      <w:r>
        <w:rPr>
          <w:rFonts w:hint="eastAsia" w:ascii="仿宋" w:hAnsi="仿宋" w:eastAsia="仿宋" w:cs="仿宋"/>
          <w:b/>
          <w:sz w:val="28"/>
          <w:szCs w:val="28"/>
          <w:lang w:eastAsia="zh-CN"/>
        </w:rPr>
        <w:t>（</w:t>
      </w:r>
      <w:r>
        <w:rPr>
          <w:rFonts w:hint="eastAsia" w:ascii="仿宋" w:hAnsi="仿宋" w:eastAsia="仿宋" w:cs="仿宋"/>
          <w:bCs/>
          <w:sz w:val="28"/>
          <w:szCs w:val="28"/>
        </w:rPr>
        <w:t>见培养方案</w:t>
      </w:r>
      <w:r>
        <w:rPr>
          <w:rFonts w:hint="eastAsia" w:ascii="仿宋" w:hAnsi="仿宋" w:eastAsia="仿宋" w:cs="仿宋"/>
          <w:bCs/>
          <w:sz w:val="28"/>
          <w:szCs w:val="28"/>
          <w:lang w:eastAsia="zh-CN"/>
        </w:rPr>
        <w:t>）</w:t>
      </w:r>
    </w:p>
    <w:p>
      <w:pPr>
        <w:numPr>
          <w:ilvl w:val="0"/>
          <w:numId w:val="0"/>
        </w:num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二</w:t>
      </w:r>
      <w:r>
        <w:rPr>
          <w:rFonts w:hint="eastAsia" w:ascii="仿宋" w:hAnsi="仿宋" w:eastAsia="仿宋" w:cs="仿宋"/>
          <w:b/>
          <w:sz w:val="28"/>
          <w:szCs w:val="28"/>
          <w:lang w:eastAsia="zh-CN"/>
        </w:rPr>
        <w:t>）</w:t>
      </w:r>
      <w:r>
        <w:rPr>
          <w:rFonts w:hint="eastAsia" w:ascii="仿宋" w:hAnsi="仿宋" w:eastAsia="仿宋" w:cs="仿宋"/>
          <w:b/>
          <w:sz w:val="28"/>
          <w:szCs w:val="28"/>
        </w:rPr>
        <w:t>学术带头人介绍及专业方向设置</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lang w:val="en-US" w:eastAsia="zh-CN"/>
        </w:rPr>
        <w:t>1.</w:t>
      </w:r>
      <w:r>
        <w:rPr>
          <w:rFonts w:hint="eastAsia" w:ascii="仿宋" w:hAnsi="仿宋" w:eastAsia="仿宋" w:cs="仿宋"/>
          <w:b/>
          <w:sz w:val="28"/>
          <w:szCs w:val="28"/>
        </w:rPr>
        <w:t>学术带头人介绍</w:t>
      </w:r>
    </w:p>
    <w:p>
      <w:pPr>
        <w:spacing w:line="360" w:lineRule="auto"/>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体育舞蹈学术带头人</w:t>
      </w:r>
    </w:p>
    <w:p>
      <w:pPr>
        <w:spacing w:line="360" w:lineRule="auto"/>
        <w:ind w:firstLine="562" w:firstLineChars="200"/>
        <w:rPr>
          <w:rFonts w:hint="eastAsia" w:ascii="仿宋" w:hAnsi="仿宋" w:eastAsia="仿宋" w:cs="仿宋"/>
          <w:bCs/>
          <w:sz w:val="28"/>
          <w:szCs w:val="28"/>
        </w:rPr>
      </w:pPr>
      <w:r>
        <w:rPr>
          <w:rFonts w:hint="eastAsia" w:ascii="仿宋" w:hAnsi="仿宋" w:eastAsia="仿宋" w:cs="仿宋"/>
          <w:b/>
          <w:bCs/>
          <w:sz w:val="28"/>
          <w:szCs w:val="28"/>
        </w:rPr>
        <w:t>刘颖</w:t>
      </w:r>
      <w:r>
        <w:rPr>
          <w:rFonts w:hint="eastAsia" w:ascii="仿宋" w:hAnsi="仿宋" w:eastAsia="仿宋" w:cs="仿宋"/>
          <w:sz w:val="28"/>
          <w:szCs w:val="28"/>
        </w:rPr>
        <w:t>，女，教授，</w:t>
      </w:r>
      <w:r>
        <w:rPr>
          <w:rFonts w:hint="eastAsia" w:ascii="仿宋" w:hAnsi="仿宋" w:eastAsia="仿宋" w:cs="仿宋"/>
          <w:bCs/>
          <w:sz w:val="28"/>
          <w:szCs w:val="28"/>
        </w:rPr>
        <w:t>国家一级演员、享受国务院特殊津贴的舞蹈艺术家，天津市舞蹈家协会主席、中国舞蹈家协会理事、天津青联第七、八、九、十届副主席、天津市第9、10、11、12届政协委员。主要研究方向：长期从事舞蹈教育与表演的科学研究，曾主持《青年芭蕾舞尖子演员培养规律的研究》等重大课题。天津体育学院学术委员会成员，舞蹈教育与表演方面评审专家，是国家级特色建设点、天津市品牌专业、天津市优势特色专业负责人。研究与实践成果：曾带队并指导的天津芭蕾舞团受邀参加中央电视台2009年春节联欢晚会, 舞蹈《蝶恋花》获得观众最喜爱的节目，歌舞类节目一等奖； 组织并指导排练天津体育学院体育艺术系2010年参加第七届中国舞蹈“荷花奖”校园舞蹈大赛荣获优秀组织奖；2010年参加第五届华北五省市（区）舞蹈比赛，舞蹈《津彩儿》荣获表演一等奖、《我们的位置在哪》荣获表演二等奖、《部落风情》荣获表演三等奖； 2011年参加了美国奥兰多世界杯啦啦队大赛,代表中国参加了舞蹈拉拉队国际公开花球组的比赛，并最终为中国代表团赢得国家杯第三名。</w:t>
      </w:r>
    </w:p>
    <w:p>
      <w:pPr>
        <w:numPr>
          <w:ilvl w:val="0"/>
          <w:numId w:val="2"/>
        </w:numPr>
        <w:spacing w:line="360" w:lineRule="auto"/>
        <w:ind w:firstLine="546" w:firstLineChars="197"/>
        <w:rPr>
          <w:rFonts w:hint="eastAsia" w:ascii="仿宋" w:hAnsi="仿宋" w:eastAsia="仿宋" w:cs="仿宋"/>
          <w:sz w:val="28"/>
          <w:szCs w:val="28"/>
        </w:rPr>
      </w:pPr>
      <w:r>
        <w:rPr>
          <w:rFonts w:hint="eastAsia" w:ascii="仿宋" w:hAnsi="仿宋" w:eastAsia="仿宋" w:cs="仿宋"/>
          <w:b/>
          <w:spacing w:val="-2"/>
          <w:sz w:val="28"/>
          <w:szCs w:val="28"/>
          <w:lang w:val="en-US" w:eastAsia="zh-CN"/>
        </w:rPr>
        <w:t>体育音乐学术带头人</w:t>
      </w:r>
    </w:p>
    <w:p>
      <w:pPr>
        <w:numPr>
          <w:ilvl w:val="0"/>
          <w:numId w:val="0"/>
        </w:numPr>
        <w:spacing w:line="360" w:lineRule="auto"/>
        <w:ind w:firstLine="554" w:firstLineChars="200"/>
        <w:rPr>
          <w:rFonts w:hint="eastAsia" w:ascii="仿宋" w:hAnsi="仿宋" w:eastAsia="仿宋" w:cs="仿宋"/>
          <w:sz w:val="28"/>
          <w:szCs w:val="28"/>
        </w:rPr>
      </w:pPr>
      <w:r>
        <w:rPr>
          <w:rFonts w:hint="eastAsia" w:ascii="仿宋" w:hAnsi="仿宋" w:eastAsia="仿宋" w:cs="仿宋"/>
          <w:b/>
          <w:spacing w:val="-2"/>
          <w:sz w:val="28"/>
          <w:szCs w:val="28"/>
        </w:rPr>
        <w:t>曹宏凯</w:t>
      </w:r>
      <w:r>
        <w:rPr>
          <w:rFonts w:hint="eastAsia" w:ascii="仿宋" w:hAnsi="仿宋" w:eastAsia="仿宋" w:cs="仿宋"/>
          <w:bCs/>
          <w:spacing w:val="-2"/>
          <w:sz w:val="28"/>
          <w:szCs w:val="28"/>
        </w:rPr>
        <w:t>，男，1962年9月1日出生。</w:t>
      </w:r>
      <w:r>
        <w:rPr>
          <w:rFonts w:hint="eastAsia" w:ascii="仿宋" w:hAnsi="仿宋" w:eastAsia="仿宋" w:cs="仿宋"/>
          <w:bCs/>
          <w:sz w:val="28"/>
          <w:szCs w:val="28"/>
        </w:rPr>
        <w:t>教授、博士、硕士生导师，</w:t>
      </w:r>
      <w:r>
        <w:rPr>
          <w:rFonts w:hint="eastAsia" w:ascii="仿宋" w:hAnsi="仿宋" w:eastAsia="仿宋" w:cs="仿宋"/>
          <w:bCs/>
          <w:spacing w:val="-2"/>
          <w:sz w:val="28"/>
          <w:szCs w:val="28"/>
        </w:rPr>
        <w:t>天津艺术职业学院副院长，天津体育学院客座教授。毕业于天津音乐学院，师从著名作曲家、指挥家、音乐理论家高燕生教授。后就读于南乌克兰国立师范大学音乐学院，获硕士（专家）、博士学位，师从著名音乐理论家伊万诺维奇.西普和前苏联十大著名指挥家之一谢尔盖.玛菜扬。2008年--2009年公派意大利那波勒斯（皇家）音乐学院高级访问学者。</w:t>
      </w:r>
      <w:r>
        <w:rPr>
          <w:rFonts w:hint="eastAsia" w:ascii="仿宋" w:hAnsi="仿宋" w:eastAsia="仿宋" w:cs="仿宋"/>
          <w:b/>
          <w:bCs/>
          <w:sz w:val="28"/>
          <w:szCs w:val="28"/>
        </w:rPr>
        <w:t xml:space="preserve">研究方向： </w:t>
      </w:r>
      <w:r>
        <w:rPr>
          <w:rFonts w:hint="eastAsia" w:ascii="仿宋" w:hAnsi="仿宋" w:eastAsia="仿宋" w:cs="仿宋"/>
          <w:sz w:val="28"/>
          <w:szCs w:val="28"/>
        </w:rPr>
        <w:t>作曲理论；音乐学；指挥教育。</w:t>
      </w:r>
      <w:r>
        <w:rPr>
          <w:rFonts w:hint="eastAsia" w:ascii="仿宋" w:hAnsi="仿宋" w:eastAsia="仿宋" w:cs="仿宋"/>
          <w:b/>
          <w:bCs/>
          <w:sz w:val="28"/>
          <w:szCs w:val="28"/>
        </w:rPr>
        <w:t>主要学术经历:</w:t>
      </w:r>
      <w:r>
        <w:rPr>
          <w:rFonts w:hint="eastAsia" w:ascii="仿宋" w:hAnsi="仿宋" w:eastAsia="仿宋" w:cs="仿宋"/>
          <w:bCs/>
          <w:sz w:val="28"/>
          <w:szCs w:val="28"/>
        </w:rPr>
        <w:t>曾任天津师范大学艺术学院、音乐与影视学院音乐理论系主任；天津师范大学音乐学专业建设负责人；音乐与影视学院学术委员会委员、教学委员会委员、学位委员会委员。曾任天津市艺术研究所副所长、天津市文化广播影视局艺术处副处长。</w:t>
      </w:r>
      <w:r>
        <w:rPr>
          <w:rFonts w:hint="eastAsia" w:ascii="仿宋" w:hAnsi="仿宋" w:eastAsia="仿宋" w:cs="仿宋"/>
          <w:sz w:val="28"/>
          <w:szCs w:val="28"/>
        </w:rPr>
        <w:t>文化部国家艺术基金专家库专家；教育部研究生艺术教育专家库专家；天津市艺术科学规划项目专家库专家。</w:t>
      </w:r>
      <w:r>
        <w:rPr>
          <w:rFonts w:hint="eastAsia" w:ascii="仿宋" w:hAnsi="仿宋" w:eastAsia="仿宋" w:cs="仿宋"/>
          <w:b/>
          <w:sz w:val="28"/>
          <w:szCs w:val="28"/>
        </w:rPr>
        <w:t>主要</w:t>
      </w:r>
      <w:r>
        <w:rPr>
          <w:rFonts w:hint="eastAsia" w:ascii="仿宋" w:hAnsi="仿宋" w:eastAsia="仿宋" w:cs="仿宋"/>
          <w:b/>
          <w:bCs/>
          <w:sz w:val="28"/>
          <w:szCs w:val="28"/>
        </w:rPr>
        <w:t>科研成果：</w:t>
      </w:r>
      <w:r>
        <w:rPr>
          <w:rFonts w:hint="eastAsia" w:ascii="仿宋" w:hAnsi="仿宋" w:eastAsia="仿宋" w:cs="仿宋"/>
          <w:sz w:val="28"/>
          <w:szCs w:val="28"/>
        </w:rPr>
        <w:t>主持国家省部级艺术科学规划项目《天津近现代音乐史考略》、《天津曲艺音乐创作研究》等4项；2013年获“天津市第十三届社会科学优秀成果”二等奖（政府奖、排名第一）；“天津市社会科学界第八届学术年会”优秀论文奖等。</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lang w:val="en-US" w:eastAsia="zh-CN"/>
        </w:rPr>
        <w:t>2.</w:t>
      </w:r>
      <w:r>
        <w:rPr>
          <w:rFonts w:hint="eastAsia" w:ascii="仿宋" w:hAnsi="仿宋" w:eastAsia="仿宋" w:cs="仿宋"/>
          <w:b/>
          <w:sz w:val="28"/>
          <w:szCs w:val="28"/>
        </w:rPr>
        <w:t>专业方向设置</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(1)舞蹈表演与教育方向</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培养热爱舞蹈教育事业，德、智、体、美全面发展的，具有良好的职业道德素养以及健全的人格；具有创业能力和创新精神；具有扎实的舞蹈技术技能与理论知识；具有策划、组织、主持和管理各类舞蹈活动的能力；具备从事本专业相关的教学、表演、创作、研究等方面专业能力与素质；能胜任普通学校、院团、群艺馆、青少年宫、舞蹈培训机构、企事业单位等舞蹈教学、表演、辅导的组织工作；具备舞蹈普及教育和企业文化、社区文化、大型文化活动的策划、编导、排练等工作能力的应用型专门人才。</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2</w:t>
      </w:r>
      <w:r>
        <w:rPr>
          <w:rFonts w:hint="eastAsia" w:ascii="仿宋" w:hAnsi="仿宋" w:eastAsia="仿宋" w:cs="仿宋"/>
          <w:b/>
          <w:sz w:val="28"/>
          <w:szCs w:val="28"/>
          <w:lang w:eastAsia="zh-CN"/>
        </w:rPr>
        <w:t>）</w:t>
      </w:r>
      <w:r>
        <w:rPr>
          <w:rFonts w:hint="eastAsia" w:ascii="仿宋" w:hAnsi="仿宋" w:eastAsia="仿宋" w:cs="仿宋"/>
          <w:b/>
          <w:sz w:val="28"/>
          <w:szCs w:val="28"/>
        </w:rPr>
        <w:t>体育舞蹈方向</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体育舞蹈是以体育和舞蹈两大范畴交叉学科的亲缘关系为主线，顺应体育学和舞蹈学发展的潮流，抓住时代特点，发挥体育与舞蹈艺术项目结合的优势，利用多种边缘学科和交叉学科理论来扩大教育、充实教学，培养服务区域社会文化及文化产业建设和发展的艺体融合的复合型实用性人才。该方向利用舞蹈与体育的身体塑造以及表现形式的亲缘性为契合点，培养什么样以及如何培养艺体融合的复合型实用性高级人才等问题。</w:t>
      </w:r>
    </w:p>
    <w:p>
      <w:pPr>
        <w:numPr>
          <w:ilvl w:val="0"/>
          <w:numId w:val="0"/>
        </w:num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lang w:val="en-US" w:eastAsia="zh-CN"/>
        </w:rPr>
        <w:t>（3）</w:t>
      </w:r>
      <w:r>
        <w:rPr>
          <w:rFonts w:hint="eastAsia" w:ascii="仿宋" w:hAnsi="仿宋" w:eastAsia="仿宋" w:cs="仿宋"/>
          <w:b/>
          <w:sz w:val="28"/>
          <w:szCs w:val="28"/>
        </w:rPr>
        <w:t>音乐表演与教育方向</w:t>
      </w:r>
    </w:p>
    <w:p>
      <w:pPr>
        <w:numPr>
          <w:ilvl w:val="0"/>
          <w:numId w:val="0"/>
        </w:num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此方向培养和造就适应社会主义市场经济建设和教育改革发展需要的具有音乐表演的专业知识和较好音乐素养和教学能力的高等技术应用型人才。要求研究生掌握该专业的基本理论、基本知识；掌握音乐作品的分析方法；具有演绎不同风格及体裁的音乐作品的能力；掌握较强的声乐、器乐表演能力和音乐鉴赏及辨别能力，掌握音乐作品的分析方法、具备一定的音乐创编能力；具有较强的组织音乐教育教学活动、文艺活动和竞赛工作的能力；具备一定的音乐教育科研能力。能够在学校、社会团体、企事业单位从事音乐创作、表演、教师和艺术管理等工作。</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4）</w:t>
      </w:r>
      <w:r>
        <w:rPr>
          <w:rFonts w:hint="eastAsia" w:ascii="仿宋" w:hAnsi="仿宋" w:eastAsia="仿宋" w:cs="仿宋"/>
          <w:b/>
          <w:sz w:val="28"/>
          <w:szCs w:val="28"/>
        </w:rPr>
        <w:t>大型文体音乐制作方向</w:t>
      </w:r>
    </w:p>
    <w:p>
      <w:pPr>
        <w:spacing w:line="360" w:lineRule="auto"/>
        <w:ind w:firstLine="560" w:firstLineChars="200"/>
        <w:rPr>
          <w:rFonts w:hint="eastAsia" w:ascii="仿宋" w:hAnsi="仿宋" w:eastAsia="仿宋" w:cs="仿宋"/>
          <w:b/>
          <w:sz w:val="28"/>
          <w:szCs w:val="28"/>
        </w:rPr>
      </w:pPr>
      <w:r>
        <w:rPr>
          <w:rFonts w:hint="eastAsia" w:ascii="仿宋" w:hAnsi="仿宋" w:eastAsia="仿宋" w:cs="仿宋"/>
          <w:bCs/>
          <w:sz w:val="28"/>
          <w:szCs w:val="28"/>
        </w:rPr>
        <w:t>此方向依托本校体育专业特色，借鉴音乐制作专业的经验，要求研究生掌握音乐领域坚实的理论基础和宽广的专业知识，具备艺术、技术、创意的多重素养和综合能力，培养全面系统地掌握现代计算机音乐制作的基础知识和基本理论、技能，具备计算机音乐制作能力的专业人才。能够在大型文体表演中胜任的配乐、作曲、MIDI音乐制作等，能承担广播、电影、电视、互联网、音乐公司等传媒音乐和其他表演型音乐机构中的音乐策划创意、创作、表演、编辑传播与技术制作或管理工作。</w:t>
      </w:r>
    </w:p>
    <w:p>
      <w:pPr>
        <w:spacing w:line="360" w:lineRule="auto"/>
        <w:ind w:firstLine="562" w:firstLineChars="200"/>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lang w:val="en-US" w:eastAsia="zh-CN"/>
        </w:rPr>
        <w:t>（三）</w:t>
      </w:r>
      <w:r>
        <w:rPr>
          <w:rFonts w:hint="eastAsia" w:ascii="仿宋" w:hAnsi="仿宋" w:eastAsia="仿宋" w:cs="仿宋"/>
          <w:b/>
          <w:color w:val="000000"/>
          <w:kern w:val="0"/>
          <w:sz w:val="28"/>
          <w:szCs w:val="28"/>
        </w:rPr>
        <w:t>五年建设发展规划</w:t>
      </w:r>
    </w:p>
    <w:p>
      <w:pPr>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1.</w:t>
      </w:r>
      <w:r>
        <w:rPr>
          <w:rFonts w:hint="eastAsia" w:ascii="仿宋" w:hAnsi="仿宋" w:eastAsia="仿宋" w:cs="仿宋"/>
          <w:color w:val="000000"/>
          <w:kern w:val="0"/>
          <w:sz w:val="28"/>
          <w:szCs w:val="28"/>
        </w:rPr>
        <w:t>建立以课程组为主体的高效、科学的管理体制，理顺管理层次。明确专业建设目标，探索特色专业建设新思路，制定和完善专业建设实施计划。加强师资队伍建设，在课程改革与建设、教材建设、实验、实习实训基地建设、教学改革与管理等方面落实相关人员责任。进一步推进教学管理的信息化、科学化。</w:t>
      </w:r>
    </w:p>
    <w:p>
      <w:pPr>
        <w:spacing w:line="360" w:lineRule="auto"/>
        <w:ind w:firstLine="560" w:firstLineChars="200"/>
        <w:rPr>
          <w:rFonts w:hint="eastAsia" w:ascii="仿宋" w:hAnsi="仿宋" w:eastAsia="仿宋" w:cs="仿宋"/>
          <w:b/>
          <w:bCs/>
          <w:color w:val="000000"/>
          <w:kern w:val="0"/>
          <w:sz w:val="28"/>
          <w:szCs w:val="28"/>
        </w:rPr>
      </w:pP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对教学效果进行多元化科学评价。一方面鼓励学生评教，每学期初都要求学生对前一学期的课程教学情况和教师授课效果进行评分。另一方面，组织校外专家，尤其是同类院校专家通过观摩、评课和检查学生学习效果对教师的实际授课效果进行评价，并对授课给出专业建议。</w:t>
      </w:r>
    </w:p>
    <w:p>
      <w:pPr>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3.</w:t>
      </w:r>
      <w:r>
        <w:rPr>
          <w:rFonts w:hint="eastAsia" w:ascii="仿宋" w:hAnsi="仿宋" w:eastAsia="仿宋" w:cs="仿宋"/>
          <w:color w:val="000000"/>
          <w:kern w:val="0"/>
          <w:sz w:val="28"/>
          <w:szCs w:val="28"/>
        </w:rPr>
        <w:t>积极开展教学方法改革，强化学生的专业实践能力和创新意识培养；建立校企联合培养人才的机制，联合其他高校丰富教育资源，培养优秀艺术教育人才；落实专业建设经费，保障专业建设预定目标能够如期完成。</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4.</w:t>
      </w:r>
      <w:r>
        <w:rPr>
          <w:rFonts w:hint="eastAsia" w:ascii="仿宋" w:hAnsi="仿宋" w:eastAsia="仿宋" w:cs="仿宋"/>
          <w:bCs/>
          <w:sz w:val="28"/>
          <w:szCs w:val="28"/>
        </w:rPr>
        <w:t>在研究生教育中试行课程负责人制，对课程集群进行系统化建设，打造“金课”，对新教育模式不断探索，以学生为中心，重视实践技能，因材施教，结合社会需求，有针对性培养应用型专门人才，积极推动校企合作、定制教育的“双赢”教育模式。</w:t>
      </w:r>
    </w:p>
    <w:p>
      <w:pPr>
        <w:spacing w:line="360" w:lineRule="auto"/>
        <w:jc w:val="both"/>
        <w:rPr>
          <w:rFonts w:hint="eastAsia" w:ascii="仿宋" w:hAnsi="仿宋" w:eastAsia="仿宋" w:cs="仿宋"/>
          <w:b/>
          <w:bCs w:val="0"/>
          <w:sz w:val="28"/>
          <w:szCs w:val="28"/>
        </w:rPr>
      </w:pPr>
      <w:r>
        <w:rPr>
          <w:rFonts w:hint="eastAsia" w:ascii="仿宋" w:hAnsi="仿宋" w:eastAsia="仿宋" w:cs="仿宋"/>
          <w:b/>
          <w:bCs w:val="0"/>
          <w:sz w:val="28"/>
          <w:szCs w:val="28"/>
          <w:lang w:val="en-US" w:eastAsia="zh-CN"/>
        </w:rPr>
        <w:t>三、</w:t>
      </w:r>
      <w:r>
        <w:rPr>
          <w:rFonts w:hint="eastAsia" w:ascii="仿宋" w:hAnsi="仿宋" w:eastAsia="仿宋" w:cs="仿宋"/>
          <w:b/>
          <w:bCs w:val="0"/>
          <w:sz w:val="28"/>
          <w:szCs w:val="28"/>
        </w:rPr>
        <w:t>申请增列硕士专业学位授权点培养方案</w:t>
      </w:r>
    </w:p>
    <w:p>
      <w:pPr>
        <w:spacing w:line="360" w:lineRule="auto"/>
        <w:ind w:firstLine="562" w:firstLineChars="200"/>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（一）培养目标</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培养能够适应我国社会、经济、文化等方面事业发展需要的德、智、体、美全面发展的具有系统专业知识、高水平技能和一定艺术造诣的高层次应用型专业人才。</w:t>
      </w:r>
    </w:p>
    <w:p>
      <w:pPr>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具体要求是：</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color w:val="000000"/>
          <w:kern w:val="0"/>
          <w:sz w:val="28"/>
          <w:szCs w:val="28"/>
        </w:rPr>
        <w:t>作为高层次、高素质、高水平的专业人才，本专业硕士研究生应</w:t>
      </w:r>
      <w:r>
        <w:rPr>
          <w:rFonts w:hint="eastAsia" w:ascii="仿宋" w:hAnsi="仿宋" w:eastAsia="仿宋" w:cs="仿宋"/>
          <w:sz w:val="28"/>
          <w:szCs w:val="28"/>
        </w:rPr>
        <w:t>具有系统的专业知识，接受完整、系统、规范的专业训练，在专业技能上达到较高的水平。注重培养良好的人文素养、艺术素养和道德素养，具有较高的艺术审美能力、艺术鉴赏能力、艺术感悟能力、理解力和表现力，并能够掌握研究方法，达到一定的学术水平。获得此学位后，能够在国家艺术演艺团体、院校、文化机构、研究机构、文化场馆、文化公司、政府文化管理部门和相关的社会团体从事相关工作。</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具备一定的马克思主义基本理论、良好的专业素质和职业道德，积极为社会主义现代化建设服务，为促进艺术文化事业的发展做出贡献。</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具有系统的专业知识、高水平的艺术创作能力和较强的艺术理解力与表现力。能够运用专业理论知识解决艺术实践中的实际问题。</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能够熟练地运用一门外语，在本专业领域具备一定的对外交流的能力。</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4.身心健康。</w:t>
      </w:r>
    </w:p>
    <w:p>
      <w:pPr>
        <w:spacing w:line="360" w:lineRule="auto"/>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（二）生源要求和选拔方式</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本学科属于一级学科艺术学，预计招收攻读硕士学位研究生30名。</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1．报考条件</w:t>
      </w:r>
    </w:p>
    <w:p>
      <w:pPr>
        <w:tabs>
          <w:tab w:val="left" w:pos="1980"/>
          <w:tab w:val="left" w:pos="216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报考本学科并参加硕士研究生招生全国统一考试的人员，须符合下列条件：</w:t>
      </w:r>
    </w:p>
    <w:p>
      <w:pPr>
        <w:widowControl/>
        <w:spacing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（1）中华人民共和国公民。</w:t>
      </w:r>
    </w:p>
    <w:p>
      <w:pPr>
        <w:widowControl/>
        <w:spacing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（2）拥护中国共产党的领导，愿为社会主义现代化建设服务，品德良好，遵纪守法。</w:t>
      </w:r>
    </w:p>
    <w:p>
      <w:pPr>
        <w:widowControl/>
        <w:spacing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（3）年龄一般不超过40周岁，报考委托培养和自筹经费的考生年龄不限。</w:t>
      </w:r>
    </w:p>
    <w:p>
      <w:pPr>
        <w:widowControl/>
        <w:spacing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（4）身体健康状况符合国家和招生单位规定的体检要求。</w:t>
      </w:r>
    </w:p>
    <w:p>
      <w:pPr>
        <w:widowControl/>
        <w:spacing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（5）已获硕士或博士学位的人员只可报考委托培养或自筹经费硕士研究生。</w:t>
      </w:r>
    </w:p>
    <w:p>
      <w:pPr>
        <w:widowControl/>
        <w:spacing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（6）考生的学历必须符合下列条件之一：</w:t>
      </w:r>
    </w:p>
    <w:p>
      <w:pPr>
        <w:widowControl/>
        <w:spacing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a.国家承认学历的应届本科毕业生；</w:t>
      </w:r>
    </w:p>
    <w:p>
      <w:pPr>
        <w:widowControl/>
        <w:spacing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b.具有国家承认的大学本科毕业学历的人员(自考本科生和网络教育本科生须在报名现场确认截止日期前取得国家承认的大学本科毕业证书方可报考)；</w:t>
      </w:r>
    </w:p>
    <w:p>
      <w:pPr>
        <w:widowControl/>
        <w:spacing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c.获得国家承认的高职高专毕业学历后满2年或2年以上，达到与大学本科毕业生同等学力，且符合招生单位根据本单位的培养目标对考生提出的具体业务要求的人员；</w:t>
      </w:r>
    </w:p>
    <w:p>
      <w:pPr>
        <w:widowControl/>
        <w:spacing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d.国家承认学历的本科结业生和成人高校(含普通高校举办的成人高等学历教育)应届本科毕业生，按本科毕业生同等学力身份报考；</w:t>
      </w:r>
    </w:p>
    <w:p>
      <w:pPr>
        <w:widowControl/>
        <w:spacing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e.已获硕士、博士学位的人员；</w:t>
      </w:r>
    </w:p>
    <w:p>
      <w:pPr>
        <w:widowControl/>
        <w:spacing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在校研究生报考须在报名前征得所在培养单位同意。</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2</w:t>
      </w:r>
      <w:r>
        <w:rPr>
          <w:rFonts w:hint="eastAsia" w:ascii="仿宋" w:hAnsi="仿宋" w:eastAsia="仿宋" w:cs="仿宋"/>
          <w:b/>
          <w:sz w:val="28"/>
          <w:szCs w:val="28"/>
          <w:lang w:val="en-US" w:eastAsia="zh-CN"/>
        </w:rPr>
        <w:t>.</w:t>
      </w:r>
      <w:r>
        <w:rPr>
          <w:rFonts w:hint="eastAsia" w:ascii="仿宋" w:hAnsi="仿宋" w:eastAsia="仿宋" w:cs="仿宋"/>
          <w:b/>
          <w:sz w:val="28"/>
          <w:szCs w:val="28"/>
        </w:rPr>
        <w:t>选拔原则</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按照教育部的文件精神和我院硕士研究生招考要求，结合本学科培养目标，选拔有培养前途、有工作潜能、有创新意识、创新精神和创新能力的考生。具体原则是：</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（1）坚持“按需招生、德智体全面衡量、择优录取、宁缺毋滥”的原则。</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（2）坚持科学选拔，并遵循人才选拔规律，采用多样化的考察方式方法，确保生源质量。</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（3）坚持公平公正。做到政策透明、程序公正、结果公开、监督机制健全，维护考生的合法权益。</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（4）坚持全面考查，突出重点。在对考生德智体等各方面全面考察基础上，突出对专业素质、实践能力以及创新精神等方面的考核。</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（5）坚持客观评价。专业课考核成绩量化，综合素质考核有较明确的等次结果。</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（6）坚持以人为本，增强服务意识，提高管理水平。</w:t>
      </w:r>
    </w:p>
    <w:p>
      <w:pPr>
        <w:spacing w:line="360" w:lineRule="auto"/>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3．考核内容</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（1）思想政治品德考核（国家统考）。</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（2）外语听力和口语测试（国家统考）。</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（3）全面考核考生对本学科（专业）理论知识和应用技能掌握程度，利用所学理论发现、分析和解决问题的能力，对本学科发展动态的了解以及在本专业领域发展的潜力。</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（4）创新精神和创新能力。</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（5）本学科以外的学习、科研、社会实践（学生工作、社团活动、志愿服务等）或实际工作表现等方面的情况；事业心、责任感、纪律性（遵纪守法）、协作性和心理健康情况。</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（6）人文素养及举止、表达和礼仪等。</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（7）身体检查：参照教育部、卫生部、中国残联制定的《普通高等学校招生体检工作指导意见》等文件要求，在本校附属医院进行。</w:t>
      </w:r>
    </w:p>
    <w:p>
      <w:pPr>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（三）培养方式</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培养过程应围绕专业发展的需要，贯彻理论联系实际的原则，导师应根据学科及学生个人的专业发展需要，制定研究方向和教学计划。对学生进行较为全面的、系统的培养。采取个别教学与集体教学、校内教学与社会实践相结合的培养方式，积极调动各类资源，建立形式多样的教学方式。实行导师负责制，聘用社会和行业专家参与教学实践与研究。</w:t>
      </w:r>
    </w:p>
    <w:p>
      <w:pPr>
        <w:spacing w:line="360" w:lineRule="auto"/>
        <w:rPr>
          <w:rFonts w:hint="eastAsia" w:ascii="仿宋" w:hAnsi="仿宋" w:eastAsia="仿宋" w:cs="仿宋"/>
          <w:sz w:val="28"/>
          <w:szCs w:val="28"/>
        </w:rPr>
      </w:pPr>
      <w:r>
        <w:rPr>
          <w:rFonts w:hint="eastAsia" w:ascii="仿宋" w:hAnsi="仿宋" w:eastAsia="仿宋" w:cs="仿宋"/>
          <w:sz w:val="28"/>
          <w:szCs w:val="28"/>
        </w:rPr>
        <w:t xml:space="preserve">    1.采取课程学习、实践教学和学位论文三大环节相结合的培养方式。课程学习以理论知识教学和专业实践教学为主，兼有案例分析、专题讲座、模拟训练、现场观摩等多种形式的教学方式。教学内容重视基本理论知识及实际应用，注重对学生专业能力培养。</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2．课程考核分为考试和考查两种形式，方法灵活多样，重在考察学生运用所学专业知识发现、分析和解决实际问题的能力。</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3．鼓励学生在读期间，在本学科专业领域的学术期刊发表有实用价值的论文、研究报告，鼓励参与申请科研项目。</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（四）课程体系与学分要求</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艺术硕士专业学位课程设置分为公共课（教育部规定的必修课程）、专业必修课（专业主科与专业相关课程）和选修课。公共课程应完成国家规定课程，为拓展学生的综合素质和知识视野提供基本保障；专业必修课从舞蹈领域的专业知识和技能需要出发，提高研究生专业技能水平，加深、延展研究生的专业知识；选修课程应拓宽学生的学术视野和知识面，形式多样，为学生的艺术个性发展创造机会；专业实践课应重视锻炼学生的实践操作能力，提供独立思考、自主创作及表演的空间，全面提升学生的专业能力。</w:t>
      </w:r>
    </w:p>
    <w:p>
      <w:pPr>
        <w:spacing w:line="360" w:lineRule="auto"/>
        <w:rPr>
          <w:rFonts w:hint="eastAsia" w:ascii="仿宋" w:hAnsi="仿宋" w:eastAsia="仿宋" w:cs="仿宋"/>
          <w:sz w:val="28"/>
          <w:szCs w:val="28"/>
        </w:rPr>
      </w:pPr>
      <w:r>
        <w:rPr>
          <w:rFonts w:hint="eastAsia" w:ascii="仿宋" w:hAnsi="仿宋" w:eastAsia="仿宋" w:cs="仿宋"/>
          <w:sz w:val="28"/>
          <w:szCs w:val="28"/>
        </w:rPr>
        <w:t>　　艺术硕士的学位课程学习实行学分制，总学分不得少于36学分，（即18学时为1学分）。其中，公共课不低于8学分；专业必修课不低于16学分；选修课不低于12学分。其专业及实践类课程应不低于总课时量的60%。</w:t>
      </w:r>
    </w:p>
    <w:p>
      <w:pPr>
        <w:spacing w:line="360" w:lineRule="auto"/>
        <w:rPr>
          <w:rFonts w:hint="eastAsia" w:ascii="仿宋" w:hAnsi="仿宋" w:eastAsia="仿宋" w:cs="仿宋"/>
          <w:sz w:val="28"/>
          <w:szCs w:val="28"/>
        </w:rPr>
      </w:pPr>
      <w:r>
        <w:rPr>
          <w:rFonts w:hint="eastAsia" w:ascii="仿宋" w:hAnsi="仿宋" w:eastAsia="仿宋" w:cs="仿宋"/>
          <w:sz w:val="28"/>
          <w:szCs w:val="28"/>
        </w:rPr>
        <w:t>　　课程学习与各种社会艺术实践环节，均需按教学要求进行成绩考核。必修与选修课程的考核一律采取考试方式。</w:t>
      </w:r>
    </w:p>
    <w:p>
      <w:pPr>
        <w:spacing w:line="360" w:lineRule="auto"/>
        <w:rPr>
          <w:rFonts w:hint="eastAsia" w:ascii="仿宋" w:hAnsi="仿宋" w:eastAsia="仿宋" w:cs="仿宋"/>
          <w:sz w:val="28"/>
          <w:szCs w:val="28"/>
        </w:rPr>
      </w:pPr>
      <w:r>
        <w:rPr>
          <w:rFonts w:hint="eastAsia" w:ascii="仿宋" w:hAnsi="仿宋" w:eastAsia="仿宋" w:cs="仿宋"/>
          <w:sz w:val="28"/>
          <w:szCs w:val="28"/>
        </w:rPr>
        <w:t>　　艺术实践、田野调查、专题讨论、文献阅读、研习报告、学术讲座等培养环节的考核，采取考查的方式进行。考查主要根据平时作业（包括读书报告、专题调研、文献阅读、艺术实践活动的数量与质量）的情况进行考查，并由导师或任课教师写出评语和考查结果，记入研究生艺术档案。</w:t>
      </w:r>
    </w:p>
    <w:p>
      <w:pPr>
        <w:spacing w:line="360" w:lineRule="auto"/>
        <w:ind w:firstLine="420"/>
        <w:rPr>
          <w:rFonts w:hint="eastAsia" w:ascii="仿宋" w:hAnsi="仿宋" w:eastAsia="仿宋" w:cs="仿宋"/>
          <w:sz w:val="28"/>
          <w:szCs w:val="28"/>
        </w:rPr>
      </w:pPr>
      <w:r>
        <w:rPr>
          <w:rFonts w:hint="eastAsia" w:ascii="仿宋" w:hAnsi="仿宋" w:eastAsia="仿宋" w:cs="仿宋"/>
          <w:sz w:val="28"/>
          <w:szCs w:val="28"/>
        </w:rPr>
        <w:t>考试或考查及格与不及格，以百分制计算。不及格者应当由本人写出补考或重修申请，经任课教师同意后，允许补考或重修一次。整个学习期间，补考或重修不及格超过一门或无故不参加考试者，取消申请艺术硕士专业学位资格。</w:t>
      </w:r>
    </w:p>
    <w:p>
      <w:pPr>
        <w:snapToGrid w:val="0"/>
        <w:spacing w:line="360" w:lineRule="auto"/>
        <w:jc w:val="both"/>
        <w:textAlignment w:val="top"/>
        <w:rPr>
          <w:rFonts w:hint="eastAsia" w:ascii="仿宋" w:hAnsi="仿宋" w:eastAsia="仿宋" w:cs="仿宋"/>
          <w:b/>
          <w:bCs/>
          <w:color w:val="000000"/>
          <w:sz w:val="28"/>
          <w:szCs w:val="28"/>
        </w:rPr>
      </w:pPr>
    </w:p>
    <w:p>
      <w:pPr>
        <w:snapToGrid w:val="0"/>
        <w:spacing w:line="360" w:lineRule="auto"/>
        <w:jc w:val="both"/>
        <w:textAlignment w:val="top"/>
        <w:rPr>
          <w:rFonts w:hint="eastAsia" w:ascii="仿宋" w:hAnsi="仿宋" w:eastAsia="仿宋" w:cs="仿宋"/>
          <w:b/>
          <w:bCs/>
          <w:color w:val="000000"/>
          <w:sz w:val="28"/>
          <w:szCs w:val="28"/>
        </w:rPr>
      </w:pPr>
    </w:p>
    <w:p>
      <w:pPr>
        <w:spacing w:line="560" w:lineRule="exact"/>
        <w:jc w:val="center"/>
        <w:rPr>
          <w:rFonts w:hint="eastAsia" w:ascii="仿宋" w:hAnsi="仿宋" w:eastAsia="仿宋" w:cs="仿宋"/>
          <w:b/>
          <w:bCs/>
          <w:sz w:val="28"/>
          <w:szCs w:val="28"/>
        </w:rPr>
      </w:pPr>
      <w:r>
        <w:rPr>
          <w:rFonts w:hint="eastAsia" w:ascii="仿宋" w:hAnsi="仿宋" w:eastAsia="仿宋" w:cs="仿宋"/>
          <w:b/>
          <w:bCs/>
          <w:sz w:val="28"/>
          <w:szCs w:val="28"/>
        </w:rPr>
        <w:t>学术学位硕士研究生课程设置表</w:t>
      </w:r>
    </w:p>
    <w:tbl>
      <w:tblPr>
        <w:tblStyle w:val="7"/>
        <w:tblW w:w="9620" w:type="dxa"/>
        <w:jc w:val="center"/>
        <w:tblInd w:w="0" w:type="dxa"/>
        <w:tblLayout w:type="fixed"/>
        <w:tblCellMar>
          <w:top w:w="15" w:type="dxa"/>
          <w:left w:w="15" w:type="dxa"/>
          <w:bottom w:w="15" w:type="dxa"/>
          <w:right w:w="15" w:type="dxa"/>
        </w:tblCellMar>
      </w:tblPr>
      <w:tblGrid>
        <w:gridCol w:w="435"/>
        <w:gridCol w:w="787"/>
        <w:gridCol w:w="719"/>
        <w:gridCol w:w="3343"/>
        <w:gridCol w:w="718"/>
        <w:gridCol w:w="726"/>
        <w:gridCol w:w="382"/>
        <w:gridCol w:w="339"/>
        <w:gridCol w:w="337"/>
        <w:gridCol w:w="347"/>
        <w:gridCol w:w="297"/>
        <w:gridCol w:w="297"/>
        <w:gridCol w:w="298"/>
        <w:gridCol w:w="297"/>
        <w:gridCol w:w="298"/>
      </w:tblGrid>
      <w:tr>
        <w:tblPrEx>
          <w:tblLayout w:type="fixed"/>
          <w:tblCellMar>
            <w:top w:w="15" w:type="dxa"/>
            <w:left w:w="15" w:type="dxa"/>
            <w:bottom w:w="15" w:type="dxa"/>
            <w:right w:w="15" w:type="dxa"/>
          </w:tblCellMar>
        </w:tblPrEx>
        <w:trPr>
          <w:trHeight w:val="340" w:hRule="atLeast"/>
          <w:jc w:val="center"/>
        </w:trPr>
        <w:tc>
          <w:tcPr>
            <w:tcW w:w="12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课程类型</w:t>
            </w: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课号</w:t>
            </w:r>
          </w:p>
        </w:tc>
        <w:tc>
          <w:tcPr>
            <w:tcW w:w="3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课程名称</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学分数</w:t>
            </w:r>
          </w:p>
        </w:tc>
        <w:tc>
          <w:tcPr>
            <w:tcW w:w="7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学时数</w:t>
            </w:r>
          </w:p>
        </w:tc>
        <w:tc>
          <w:tcPr>
            <w:tcW w:w="10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课时分配</w:t>
            </w:r>
          </w:p>
        </w:tc>
        <w:tc>
          <w:tcPr>
            <w:tcW w:w="18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各学期学时分配</w:t>
            </w:r>
          </w:p>
        </w:tc>
      </w:tr>
      <w:tr>
        <w:tblPrEx>
          <w:tblLayout w:type="fixed"/>
          <w:tblCellMar>
            <w:top w:w="15" w:type="dxa"/>
            <w:left w:w="15" w:type="dxa"/>
            <w:bottom w:w="15" w:type="dxa"/>
            <w:right w:w="15" w:type="dxa"/>
          </w:tblCellMar>
        </w:tblPrEx>
        <w:trPr>
          <w:trHeight w:val="641" w:hRule="atLeast"/>
          <w:jc w:val="center"/>
        </w:trPr>
        <w:tc>
          <w:tcPr>
            <w:tcW w:w="12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3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382"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讲</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授</w:t>
            </w:r>
          </w:p>
        </w:tc>
        <w:tc>
          <w:tcPr>
            <w:tcW w:w="33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实</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验</w:t>
            </w:r>
          </w:p>
        </w:tc>
        <w:tc>
          <w:tcPr>
            <w:tcW w:w="337"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实</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践</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一</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二</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三</w:t>
            </w: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四</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五</w:t>
            </w: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六</w:t>
            </w:r>
          </w:p>
        </w:tc>
      </w:tr>
      <w:tr>
        <w:tblPrEx>
          <w:tblLayout w:type="fixed"/>
          <w:tblCellMar>
            <w:top w:w="15" w:type="dxa"/>
            <w:left w:w="15" w:type="dxa"/>
            <w:bottom w:w="15" w:type="dxa"/>
            <w:right w:w="15" w:type="dxa"/>
          </w:tblCellMar>
        </w:tblPrEx>
        <w:trPr>
          <w:trHeight w:val="90" w:hRule="atLeast"/>
          <w:jc w:val="center"/>
        </w:trPr>
        <w:tc>
          <w:tcPr>
            <w:tcW w:w="43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必</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修</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课</w:t>
            </w: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公共课</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中国特色社会主义理论与实践研究</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英语</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64</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64</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计算机</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280" w:hRule="atLeast"/>
          <w:jc w:val="center"/>
        </w:trPr>
        <w:tc>
          <w:tcPr>
            <w:tcW w:w="43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专业</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xml:space="preserve">基础课  </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马克思主义文艺理论</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48</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48</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艺术原理</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艺术创作方法研究</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48</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专业课 </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专题一</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48</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48</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专题二</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48</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48</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8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教学</w:t>
            </w:r>
          </w:p>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实践课</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综合素质拓展</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8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52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必修课合计</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23</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368</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选 </w:t>
            </w:r>
          </w:p>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修 </w:t>
            </w:r>
          </w:p>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 xml:space="preserve">课 </w:t>
            </w:r>
          </w:p>
        </w:tc>
        <w:tc>
          <w:tcPr>
            <w:tcW w:w="78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舞蹈方向</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舞蹈概论</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p>
        </w:tc>
        <w:tc>
          <w:tcPr>
            <w:tcW w:w="787"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即兴编舞技术</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48</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8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舞蹈剧目</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8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中国舞蹈史</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8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舞蹈艺术理论与作品欣赏</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8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世界舞蹈演进史</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音乐方向</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音乐概论</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中西方音乐</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音乐艺术表演</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48</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音乐作品分析</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合唱与指挥</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hint="eastAsia" w:ascii="仿宋" w:hAnsi="仿宋" w:eastAsia="仿宋" w:cs="仿宋"/>
                <w:color w:val="000000"/>
                <w:kern w:val="0"/>
                <w:sz w:val="28"/>
                <w:szCs w:val="28"/>
              </w:rPr>
            </w:pP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中国钢琴作品演奏艺术</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napToGrid w:val="0"/>
              <w:spacing w:line="320" w:lineRule="exact"/>
              <w:jc w:val="center"/>
              <w:textAlignment w:val="top"/>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8"/>
                <w:szCs w:val="28"/>
              </w:rPr>
            </w:pPr>
          </w:p>
        </w:tc>
        <w:tc>
          <w:tcPr>
            <w:tcW w:w="48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任选课合计</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9</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144</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52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毕业实践</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p>
        </w:tc>
      </w:tr>
      <w:tr>
        <w:tblPrEx>
          <w:tblLayout w:type="fixed"/>
          <w:tblCellMar>
            <w:top w:w="15" w:type="dxa"/>
            <w:left w:w="15" w:type="dxa"/>
            <w:bottom w:w="15" w:type="dxa"/>
            <w:right w:w="15" w:type="dxa"/>
          </w:tblCellMar>
        </w:tblPrEx>
        <w:trPr>
          <w:trHeight w:val="340" w:hRule="atLeast"/>
          <w:jc w:val="center"/>
        </w:trPr>
        <w:tc>
          <w:tcPr>
            <w:tcW w:w="52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毕业论文</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w:t>
            </w:r>
          </w:p>
        </w:tc>
      </w:tr>
      <w:tr>
        <w:tblPrEx>
          <w:tblLayout w:type="fixed"/>
          <w:tblCellMar>
            <w:top w:w="15" w:type="dxa"/>
            <w:left w:w="15" w:type="dxa"/>
            <w:bottom w:w="15" w:type="dxa"/>
            <w:right w:w="15" w:type="dxa"/>
          </w:tblCellMar>
        </w:tblPrEx>
        <w:trPr>
          <w:trHeight w:val="350" w:hRule="atLeast"/>
          <w:jc w:val="center"/>
        </w:trPr>
        <w:tc>
          <w:tcPr>
            <w:tcW w:w="52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合计</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512</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kern w:val="0"/>
                <w:sz w:val="28"/>
                <w:szCs w:val="28"/>
              </w:rPr>
            </w:pPr>
          </w:p>
        </w:tc>
      </w:tr>
    </w:tbl>
    <w:p>
      <w:pPr>
        <w:spacing w:line="400" w:lineRule="exact"/>
        <w:rPr>
          <w:rFonts w:hint="eastAsia" w:ascii="仿宋" w:hAnsi="仿宋" w:eastAsia="仿宋" w:cs="仿宋"/>
          <w:b/>
          <w:bCs/>
          <w:sz w:val="28"/>
          <w:szCs w:val="28"/>
        </w:rPr>
      </w:pP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（五）实践教学</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实践教学是全日制专业学位硕士研究生培养区别于科学学位硕士生培养的重要环节。专业实习计4学分。</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应届本科毕业生及未在舞蹈或音乐行业工作满一年以上的非应届本科毕业生攻读本专业学位期间，必须保证参加不少于6个月的实践教学；已在舞蹈或音乐行业工作满一年以上的非应届本科毕业生攻读本专业学位期间，不必安排专门的实践教学，但应按实践教学的要求提交相关作品及其心得报告。</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实践教学考核的依据是所在实习单位开出相关鉴定材料，及一份本人的实践教学报告。</w:t>
      </w:r>
    </w:p>
    <w:p>
      <w:pPr>
        <w:spacing w:line="360" w:lineRule="auto"/>
        <w:ind w:firstLine="551" w:firstLineChars="196"/>
        <w:rPr>
          <w:rStyle w:val="9"/>
          <w:rFonts w:hint="eastAsia" w:ascii="仿宋" w:hAnsi="仿宋" w:eastAsia="仿宋" w:cs="仿宋"/>
          <w:color w:val="000000"/>
          <w:sz w:val="28"/>
          <w:szCs w:val="28"/>
        </w:rPr>
      </w:pPr>
      <w:r>
        <w:rPr>
          <w:rStyle w:val="9"/>
          <w:rFonts w:hint="eastAsia" w:ascii="仿宋" w:hAnsi="仿宋" w:eastAsia="仿宋" w:cs="仿宋"/>
          <w:color w:val="000000"/>
          <w:sz w:val="28"/>
          <w:szCs w:val="28"/>
        </w:rPr>
        <w:t>（六）学位论文与答辩</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论文开题报告时间原则上安排在第三学期末进行。学位论文选题应坚持理论联系实际的原则，论文内容应来源于工作实践，面向舞蹈或音乐等艺术行业的实际问题，具有良好的实践应用价值。学位论文应在导师指导下独立完成。</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学位论文类型可以多样化，强调“理论联系实际”，紧密结合自身的艺术创作实践。论文既可以是联系创作的基础研究，也可以是应用研究和开发研究。鼓励研究生通过调查研究，解决创作实际问题，并提供可行性方案。不少于一万字。</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评价学位论文水平主要考查其综合运用所学知识分析和解决实际问题的能力，看其内容是否有独创性的见解，或者看其已经产生的实际价值和经济效益。</w:t>
      </w:r>
    </w:p>
    <w:p>
      <w:pPr>
        <w:spacing w:line="360" w:lineRule="auto"/>
        <w:ind w:firstLine="548" w:firstLineChars="196"/>
        <w:rPr>
          <w:rStyle w:val="9"/>
          <w:rFonts w:hint="eastAsia" w:ascii="仿宋" w:hAnsi="仿宋" w:eastAsia="仿宋" w:cs="仿宋"/>
          <w:b w:val="0"/>
          <w:color w:val="000000"/>
          <w:sz w:val="28"/>
          <w:szCs w:val="28"/>
        </w:rPr>
      </w:pPr>
      <w:r>
        <w:rPr>
          <w:rStyle w:val="9"/>
          <w:rFonts w:hint="eastAsia" w:ascii="仿宋" w:hAnsi="仿宋" w:eastAsia="仿宋" w:cs="仿宋"/>
          <w:b w:val="0"/>
          <w:color w:val="000000"/>
          <w:sz w:val="28"/>
          <w:szCs w:val="28"/>
        </w:rPr>
        <w:t>第四学期中期，研究生应向硕士学位办公室正式提出学位申请并按时提交论文。</w:t>
      </w:r>
    </w:p>
    <w:p>
      <w:pPr>
        <w:spacing w:line="360" w:lineRule="auto"/>
        <w:ind w:firstLine="548" w:firstLineChars="196"/>
        <w:rPr>
          <w:rStyle w:val="9"/>
          <w:rFonts w:hint="eastAsia" w:ascii="仿宋" w:hAnsi="仿宋" w:eastAsia="仿宋" w:cs="仿宋"/>
          <w:b w:val="0"/>
          <w:color w:val="000000"/>
          <w:sz w:val="28"/>
          <w:szCs w:val="28"/>
        </w:rPr>
      </w:pPr>
      <w:r>
        <w:rPr>
          <w:rStyle w:val="9"/>
          <w:rFonts w:hint="eastAsia" w:ascii="仿宋" w:hAnsi="仿宋" w:eastAsia="仿宋" w:cs="仿宋"/>
          <w:b w:val="0"/>
          <w:color w:val="000000"/>
          <w:sz w:val="28"/>
          <w:szCs w:val="28"/>
        </w:rPr>
        <w:t>硕士学位办公室对已提交的论文进行资格初审，组织专家进行学术评审，对不符合要求或未达到硕士论文水平的论文不予安排答辩。</w:t>
      </w:r>
    </w:p>
    <w:p>
      <w:pPr>
        <w:spacing w:line="360" w:lineRule="auto"/>
        <w:ind w:firstLine="548" w:firstLineChars="196"/>
        <w:rPr>
          <w:rStyle w:val="9"/>
          <w:rFonts w:hint="eastAsia" w:ascii="仿宋" w:hAnsi="仿宋" w:eastAsia="仿宋" w:cs="仿宋"/>
          <w:b w:val="0"/>
          <w:color w:val="000000"/>
          <w:sz w:val="28"/>
          <w:szCs w:val="28"/>
        </w:rPr>
      </w:pPr>
      <w:r>
        <w:rPr>
          <w:rStyle w:val="9"/>
          <w:rFonts w:hint="eastAsia" w:ascii="仿宋" w:hAnsi="仿宋" w:eastAsia="仿宋" w:cs="仿宋"/>
          <w:b w:val="0"/>
          <w:color w:val="000000"/>
          <w:sz w:val="28"/>
          <w:szCs w:val="28"/>
        </w:rPr>
        <w:t>硕士学位论文答辩时间安排在每年5月上旬或11月中旬进行。</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（七）学位授予</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完成课程学习及实践环节，取得规定学分，成绩合格，并通过论文答辩者，经天津体育学院学位评定委员会审核，授予艺术学专业学位。</w:t>
      </w:r>
    </w:p>
    <w:p>
      <w:pPr>
        <w:spacing w:line="360" w:lineRule="auto"/>
        <w:ind w:firstLine="560" w:firstLineChars="200"/>
        <w:rPr>
          <w:rFonts w:hint="eastAsia" w:ascii="仿宋" w:hAnsi="仿宋" w:eastAsia="仿宋" w:cs="仿宋"/>
          <w:bCs/>
          <w:sz w:val="28"/>
          <w:szCs w:val="28"/>
        </w:rPr>
      </w:pPr>
    </w:p>
    <w:p>
      <w:pPr>
        <w:spacing w:line="360" w:lineRule="auto"/>
        <w:ind w:firstLine="560" w:firstLineChars="200"/>
        <w:rPr>
          <w:rFonts w:hint="eastAsia" w:ascii="仿宋" w:hAnsi="仿宋" w:eastAsia="仿宋" w:cs="仿宋"/>
          <w:bCs/>
          <w:sz w:val="28"/>
          <w:szCs w:val="28"/>
        </w:rPr>
      </w:pPr>
    </w:p>
    <w:p>
      <w:pPr>
        <w:widowControl/>
        <w:jc w:val="left"/>
        <w:rPr>
          <w:rFonts w:hint="eastAsia" w:ascii="仿宋" w:hAnsi="仿宋" w:eastAsia="仿宋" w:cs="仿宋"/>
          <w:b/>
          <w:color w:val="FF0000"/>
          <w:sz w:val="28"/>
          <w:szCs w:val="28"/>
        </w:rPr>
      </w:pPr>
      <w:r>
        <w:rPr>
          <w:rFonts w:hint="eastAsia" w:ascii="仿宋" w:hAnsi="仿宋" w:eastAsia="仿宋" w:cs="仿宋"/>
          <w:b/>
          <w:sz w:val="28"/>
          <w:szCs w:val="28"/>
        </w:rPr>
        <w:t>Ⅰ 专业人才需求与招生</w:t>
      </w:r>
    </w:p>
    <w:tbl>
      <w:tblPr>
        <w:tblStyle w:val="7"/>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2" w:hRule="atLeast"/>
        </w:trPr>
        <w:tc>
          <w:tcPr>
            <w:tcW w:w="729" w:type="dxa"/>
            <w:textDirection w:val="tbRlV"/>
          </w:tcPr>
          <w:p>
            <w:pPr>
              <w:tabs>
                <w:tab w:val="left" w:pos="480"/>
              </w:tabs>
              <w:adjustRightInd w:val="0"/>
              <w:snapToGrid w:val="0"/>
              <w:ind w:right="113" w:rightChars="54"/>
              <w:jc w:val="center"/>
              <w:outlineLvl w:val="0"/>
              <w:rPr>
                <w:rFonts w:hint="eastAsia" w:ascii="仿宋" w:hAnsi="仿宋" w:eastAsia="仿宋" w:cs="仿宋"/>
                <w:sz w:val="28"/>
                <w:szCs w:val="28"/>
              </w:rPr>
            </w:pPr>
            <w:r>
              <w:rPr>
                <w:rFonts w:hint="eastAsia" w:ascii="仿宋" w:hAnsi="仿宋" w:eastAsia="仿宋" w:cs="仿宋"/>
                <w:sz w:val="28"/>
                <w:szCs w:val="28"/>
              </w:rPr>
              <w:t>（近三年相关学科专业毕业生就业情况）</w:t>
            </w:r>
          </w:p>
          <w:p>
            <w:pPr>
              <w:tabs>
                <w:tab w:val="left" w:pos="480"/>
              </w:tabs>
              <w:adjustRightInd w:val="0"/>
              <w:snapToGrid w:val="0"/>
              <w:jc w:val="center"/>
              <w:outlineLvl w:val="0"/>
              <w:rPr>
                <w:rFonts w:hint="eastAsia" w:ascii="仿宋" w:hAnsi="仿宋" w:eastAsia="仿宋" w:cs="仿宋"/>
                <w:sz w:val="28"/>
                <w:szCs w:val="28"/>
              </w:rPr>
            </w:pPr>
            <w:r>
              <w:rPr>
                <w:rFonts w:hint="eastAsia" w:ascii="仿宋" w:hAnsi="仿宋" w:eastAsia="仿宋" w:cs="仿宋"/>
                <w:sz w:val="28"/>
                <w:szCs w:val="28"/>
              </w:rPr>
              <w:t>申报学位点毕业生就业前景分析</w:t>
            </w:r>
          </w:p>
        </w:tc>
        <w:tc>
          <w:tcPr>
            <w:tcW w:w="8565" w:type="dxa"/>
          </w:tcPr>
          <w:p>
            <w:pPr>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我国艺术人才的高等教育培养体系中急缺一类在比较扎实的通识教育基础上并侧重进一步提高音乐专业技能与舞蹈专业技能的专业学位研究生教育，这既是适应我国艺术事业发展的必然选择，也是调整与补充现有本科与研究生培养体系的重要举措。</w:t>
            </w:r>
          </w:p>
          <w:p>
            <w:pPr>
              <w:spacing w:line="360" w:lineRule="auto"/>
              <w:ind w:firstLine="560" w:firstLineChars="200"/>
              <w:rPr>
                <w:rFonts w:hint="eastAsia" w:ascii="仿宋" w:hAnsi="仿宋" w:eastAsia="仿宋" w:cs="仿宋"/>
                <w:color w:val="1D1B11"/>
                <w:kern w:val="0"/>
                <w:sz w:val="28"/>
                <w:szCs w:val="28"/>
              </w:rPr>
            </w:pPr>
            <w:r>
              <w:rPr>
                <w:rFonts w:hint="eastAsia" w:ascii="仿宋" w:hAnsi="仿宋" w:eastAsia="仿宋" w:cs="仿宋"/>
                <w:color w:val="1D1B11"/>
                <w:kern w:val="0"/>
                <w:sz w:val="28"/>
                <w:szCs w:val="28"/>
              </w:rPr>
              <w:t>天津体育学院经过60年的建设和发展，取得了丰硕的成果。</w:t>
            </w:r>
            <w:r>
              <w:rPr>
                <w:rFonts w:hint="eastAsia" w:ascii="仿宋" w:hAnsi="仿宋" w:eastAsia="仿宋" w:cs="仿宋"/>
                <w:color w:val="333333"/>
                <w:sz w:val="28"/>
                <w:szCs w:val="28"/>
              </w:rPr>
              <w:t>2013年通过立项建设博士学位授权单位验收，被国务院学位委员会正式批准为“博士学位授予单位”，体育学一级学科被批准为“博士学位授权学科”。在2017年全国第四轮学科评估中，我校体育学一级学科位列全国体育学学科前5%，获得并列第4名的佳绩。</w:t>
            </w:r>
            <w:r>
              <w:rPr>
                <w:rFonts w:hint="eastAsia" w:ascii="仿宋" w:hAnsi="仿宋" w:eastAsia="仿宋" w:cs="仿宋"/>
                <w:color w:val="1D1B11"/>
                <w:kern w:val="0"/>
                <w:sz w:val="28"/>
                <w:szCs w:val="28"/>
              </w:rPr>
              <w:t>该学科的设置为天津体育学院更好的朝着国内一流、国际有影响的教学研究型体育大学的目标前进。</w:t>
            </w:r>
          </w:p>
          <w:p>
            <w:pPr>
              <w:spacing w:line="360" w:lineRule="auto"/>
              <w:ind w:firstLine="560" w:firstLineChars="200"/>
              <w:rPr>
                <w:rFonts w:hint="eastAsia" w:ascii="仿宋" w:hAnsi="仿宋" w:eastAsia="仿宋" w:cs="仿宋"/>
                <w:color w:val="1D1B11"/>
                <w:kern w:val="0"/>
                <w:sz w:val="28"/>
                <w:szCs w:val="28"/>
              </w:rPr>
            </w:pPr>
            <w:r>
              <w:rPr>
                <w:rFonts w:hint="eastAsia" w:ascii="仿宋" w:hAnsi="仿宋" w:eastAsia="仿宋" w:cs="仿宋"/>
                <w:color w:val="1D1B11"/>
                <w:kern w:val="0"/>
                <w:sz w:val="28"/>
                <w:szCs w:val="28"/>
              </w:rPr>
              <w:t>音乐与舞蹈类专业隶属艺术门类新增一级学科， 2001年天津体育学院在全国高等体育院校中率先设置了舞蹈学本科专业，同时也是天津市普通高等院校首次创设舞蹈学专业。该专业以体育与舞蹈并行专业方向的办学优势，秉持天津体育学院“置身时代发展，弘扬体魄文化”的办学理念， 突出“体艺融合”特色，严格质量标准，在专业建设和办学实践中，形成了体艺融合的文化特质，在专业建设、人才培养、师资队伍建设、艺术实践、对外交流等方面取得丰硕成果，成为学校的优势特色专业，办学水平在全国同类院校居于领先位置。能够设置艺术学专业（音乐学方向与舞蹈方向）硕士，对于天津体育学院来说，是将现有体育学一级学科优势和艺术研究发扬光大，走体育与艺术相结合的道路，实现变道超车。</w:t>
            </w:r>
          </w:p>
          <w:p>
            <w:pPr>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1D1B11"/>
                <w:kern w:val="0"/>
                <w:sz w:val="28"/>
                <w:szCs w:val="28"/>
              </w:rPr>
              <w:t>天津市地处环渤海地区，艺术专业音乐方</w:t>
            </w:r>
            <w:r>
              <w:rPr>
                <w:rFonts w:hint="eastAsia" w:ascii="仿宋" w:hAnsi="仿宋" w:eastAsia="仿宋" w:cs="仿宋"/>
                <w:color w:val="000000"/>
                <w:kern w:val="0"/>
                <w:sz w:val="28"/>
                <w:szCs w:val="28"/>
              </w:rPr>
              <w:t>向硕士学历层次的应用人才培养还处在空缺阶段。且天津体育艺术教育在环渤海地区的领军作用明显，周边城市中除北京以外影响力较大，对于保证生源，提高生源就业率有着较大优势。</w:t>
            </w:r>
          </w:p>
          <w:p>
            <w:pPr>
              <w:spacing w:line="300" w:lineRule="auto"/>
              <w:ind w:firstLine="560" w:firstLineChars="200"/>
              <w:rPr>
                <w:rFonts w:hint="eastAsia" w:ascii="仿宋" w:hAnsi="仿宋" w:eastAsia="仿宋" w:cs="仿宋"/>
                <w:color w:val="1D1B11"/>
                <w:sz w:val="28"/>
                <w:szCs w:val="28"/>
              </w:rPr>
            </w:pPr>
            <w:r>
              <w:rPr>
                <w:rFonts w:hint="eastAsia" w:ascii="仿宋" w:hAnsi="仿宋" w:eastAsia="仿宋" w:cs="仿宋"/>
                <w:color w:val="1D1B11"/>
                <w:sz w:val="28"/>
                <w:szCs w:val="28"/>
              </w:rPr>
              <w:t>天津体育学院艺术类专业自2001年开始招生，招生质量逐年提高，迄今共培养本科毕业生约1500余人。近三年，相关学科专业毕业生约300人。通过对毕业生跟踪调查，就业率达98%，已遍布全国13个省市及港澳地区，大多在学校（中小学）、事业单位从事教育教学和相关管理工作，成为体育艺术领域的有生力量。</w:t>
            </w:r>
          </w:p>
          <w:p>
            <w:pPr>
              <w:spacing w:line="300" w:lineRule="auto"/>
              <w:ind w:firstLine="560" w:firstLineChars="200"/>
              <w:rPr>
                <w:rFonts w:hint="eastAsia" w:ascii="仿宋" w:hAnsi="仿宋" w:eastAsia="仿宋" w:cs="仿宋"/>
                <w:color w:val="1D1B11"/>
                <w:sz w:val="28"/>
                <w:szCs w:val="28"/>
              </w:rPr>
            </w:pPr>
          </w:p>
          <w:p>
            <w:pPr>
              <w:spacing w:line="300" w:lineRule="auto"/>
              <w:ind w:firstLine="560" w:firstLineChars="200"/>
              <w:rPr>
                <w:rFonts w:hint="eastAsia" w:ascii="仿宋" w:hAnsi="仿宋" w:eastAsia="仿宋" w:cs="仿宋"/>
                <w:color w:val="1D1B11"/>
                <w:sz w:val="28"/>
                <w:szCs w:val="28"/>
              </w:rPr>
            </w:pPr>
          </w:p>
          <w:p>
            <w:pPr>
              <w:spacing w:line="300" w:lineRule="auto"/>
              <w:ind w:firstLine="560" w:firstLineChars="200"/>
              <w:rPr>
                <w:rFonts w:hint="eastAsia" w:ascii="仿宋" w:hAnsi="仿宋" w:eastAsia="仿宋" w:cs="仿宋"/>
                <w:color w:val="1D1B11"/>
                <w:sz w:val="28"/>
                <w:szCs w:val="28"/>
              </w:rPr>
            </w:pPr>
          </w:p>
          <w:p>
            <w:pPr>
              <w:spacing w:line="300" w:lineRule="auto"/>
              <w:ind w:firstLine="560" w:firstLineChars="200"/>
              <w:rPr>
                <w:rFonts w:hint="eastAsia" w:ascii="仿宋" w:hAnsi="仿宋" w:eastAsia="仿宋" w:cs="仿宋"/>
                <w:color w:val="1D1B11"/>
                <w:sz w:val="28"/>
                <w:szCs w:val="28"/>
              </w:rPr>
            </w:pPr>
          </w:p>
          <w:p>
            <w:pPr>
              <w:spacing w:line="300" w:lineRule="auto"/>
              <w:ind w:firstLine="560" w:firstLineChars="200"/>
              <w:rPr>
                <w:rFonts w:hint="eastAsia" w:ascii="仿宋" w:hAnsi="仿宋" w:eastAsia="仿宋" w:cs="仿宋"/>
                <w:color w:val="1D1B11"/>
                <w:sz w:val="28"/>
                <w:szCs w:val="28"/>
              </w:rPr>
            </w:pPr>
          </w:p>
          <w:p>
            <w:pPr>
              <w:spacing w:line="300" w:lineRule="auto"/>
              <w:ind w:firstLine="560" w:firstLineChars="200"/>
              <w:rPr>
                <w:rFonts w:hint="eastAsia" w:ascii="仿宋" w:hAnsi="仿宋" w:eastAsia="仿宋" w:cs="仿宋"/>
                <w:color w:val="1D1B11"/>
                <w:sz w:val="28"/>
                <w:szCs w:val="28"/>
              </w:rPr>
            </w:pPr>
          </w:p>
          <w:p>
            <w:pPr>
              <w:spacing w:line="300" w:lineRule="auto"/>
              <w:ind w:firstLine="560" w:firstLineChars="200"/>
              <w:rPr>
                <w:rFonts w:hint="eastAsia" w:ascii="仿宋" w:hAnsi="仿宋" w:eastAsia="仿宋" w:cs="仿宋"/>
                <w:color w:val="1D1B11"/>
                <w:sz w:val="28"/>
                <w:szCs w:val="28"/>
              </w:rPr>
            </w:pPr>
          </w:p>
          <w:p>
            <w:pPr>
              <w:spacing w:line="300" w:lineRule="auto"/>
              <w:ind w:firstLine="560" w:firstLineChars="200"/>
              <w:rPr>
                <w:rFonts w:hint="eastAsia" w:ascii="仿宋" w:hAnsi="仿宋" w:eastAsia="仿宋" w:cs="仿宋"/>
                <w:color w:val="1D1B1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8" w:hRule="atLeast"/>
        </w:trPr>
        <w:tc>
          <w:tcPr>
            <w:tcW w:w="729" w:type="dxa"/>
            <w:textDirection w:val="tbRlV"/>
          </w:tcPr>
          <w:p>
            <w:pPr>
              <w:tabs>
                <w:tab w:val="left" w:pos="480"/>
              </w:tabs>
              <w:ind w:right="113" w:rightChars="54"/>
              <w:jc w:val="center"/>
              <w:outlineLvl w:val="0"/>
              <w:rPr>
                <w:rFonts w:hint="eastAsia" w:ascii="仿宋" w:hAnsi="仿宋" w:eastAsia="仿宋" w:cs="仿宋"/>
                <w:sz w:val="28"/>
                <w:szCs w:val="28"/>
              </w:rPr>
            </w:pPr>
            <w:r>
              <w:rPr>
                <w:rFonts w:hint="eastAsia" w:ascii="仿宋" w:hAnsi="仿宋" w:eastAsia="仿宋" w:cs="仿宋"/>
                <w:sz w:val="28"/>
                <w:szCs w:val="28"/>
              </w:rPr>
              <w:t>三年拟招生人数</w:t>
            </w:r>
          </w:p>
          <w:p>
            <w:pPr>
              <w:tabs>
                <w:tab w:val="left" w:pos="480"/>
              </w:tabs>
              <w:ind w:right="113" w:rightChars="54"/>
              <w:jc w:val="center"/>
              <w:outlineLvl w:val="0"/>
              <w:rPr>
                <w:rFonts w:hint="eastAsia" w:ascii="仿宋" w:hAnsi="仿宋" w:eastAsia="仿宋" w:cs="仿宋"/>
                <w:sz w:val="28"/>
                <w:szCs w:val="28"/>
              </w:rPr>
            </w:pPr>
            <w:r>
              <w:rPr>
                <w:rFonts w:hint="eastAsia" w:ascii="仿宋" w:hAnsi="仿宋" w:eastAsia="仿宋" w:cs="仿宋"/>
                <w:sz w:val="28"/>
                <w:szCs w:val="28"/>
              </w:rPr>
              <w:t>申报学位点未来</w:t>
            </w:r>
          </w:p>
        </w:tc>
        <w:tc>
          <w:tcPr>
            <w:tcW w:w="8565" w:type="dxa"/>
          </w:tcPr>
          <w:tbl>
            <w:tblPr>
              <w:tblStyle w:val="7"/>
              <w:tblpPr w:leftFromText="180" w:rightFromText="180" w:vertAnchor="page" w:horzAnchor="margin" w:tblpY="1"/>
              <w:tblOverlap w:val="never"/>
              <w:tblW w:w="949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73"/>
              <w:gridCol w:w="3345"/>
              <w:gridCol w:w="3174"/>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2973" w:type="dxa"/>
                  <w:vAlign w:val="center"/>
                </w:tcPr>
                <w:p>
                  <w:pPr>
                    <w:spacing w:line="480" w:lineRule="auto"/>
                    <w:jc w:val="center"/>
                    <w:rPr>
                      <w:rFonts w:hint="eastAsia" w:ascii="仿宋" w:hAnsi="仿宋" w:eastAsia="仿宋" w:cs="仿宋"/>
                      <w:sz w:val="28"/>
                      <w:szCs w:val="28"/>
                    </w:rPr>
                  </w:pPr>
                  <w:r>
                    <w:rPr>
                      <w:rFonts w:hint="eastAsia" w:ascii="仿宋" w:hAnsi="仿宋" w:eastAsia="仿宋" w:cs="仿宋"/>
                      <w:sz w:val="28"/>
                      <w:szCs w:val="28"/>
                    </w:rPr>
                    <w:t>2020年</w:t>
                  </w:r>
                </w:p>
              </w:tc>
              <w:tc>
                <w:tcPr>
                  <w:tcW w:w="3345" w:type="dxa"/>
                  <w:vAlign w:val="center"/>
                </w:tcPr>
                <w:p>
                  <w:pPr>
                    <w:spacing w:line="480" w:lineRule="auto"/>
                    <w:jc w:val="center"/>
                    <w:rPr>
                      <w:rFonts w:hint="eastAsia" w:ascii="仿宋" w:hAnsi="仿宋" w:eastAsia="仿宋" w:cs="仿宋"/>
                      <w:sz w:val="28"/>
                      <w:szCs w:val="28"/>
                    </w:rPr>
                  </w:pPr>
                  <w:r>
                    <w:rPr>
                      <w:rFonts w:hint="eastAsia" w:ascii="仿宋" w:hAnsi="仿宋" w:eastAsia="仿宋" w:cs="仿宋"/>
                      <w:sz w:val="28"/>
                      <w:szCs w:val="28"/>
                    </w:rPr>
                    <w:t xml:space="preserve"> 2021年</w:t>
                  </w:r>
                </w:p>
              </w:tc>
              <w:tc>
                <w:tcPr>
                  <w:tcW w:w="3174" w:type="dxa"/>
                  <w:vAlign w:val="center"/>
                </w:tcPr>
                <w:p>
                  <w:pPr>
                    <w:spacing w:line="480" w:lineRule="auto"/>
                    <w:jc w:val="center"/>
                    <w:rPr>
                      <w:rFonts w:hint="eastAsia" w:ascii="仿宋" w:hAnsi="仿宋" w:eastAsia="仿宋" w:cs="仿宋"/>
                      <w:sz w:val="28"/>
                      <w:szCs w:val="28"/>
                    </w:rPr>
                  </w:pPr>
                  <w:r>
                    <w:rPr>
                      <w:rFonts w:hint="eastAsia" w:ascii="仿宋" w:hAnsi="仿宋" w:eastAsia="仿宋" w:cs="仿宋"/>
                      <w:sz w:val="28"/>
                      <w:szCs w:val="28"/>
                    </w:rPr>
                    <w:t>2022年</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2973" w:type="dxa"/>
                  <w:vAlign w:val="center"/>
                </w:tcPr>
                <w:p>
                  <w:pPr>
                    <w:spacing w:line="480" w:lineRule="auto"/>
                    <w:jc w:val="center"/>
                    <w:rPr>
                      <w:rFonts w:hint="eastAsia" w:ascii="仿宋" w:hAnsi="仿宋" w:eastAsia="仿宋" w:cs="仿宋"/>
                      <w:sz w:val="28"/>
                      <w:szCs w:val="28"/>
                    </w:rPr>
                  </w:pPr>
                  <w:r>
                    <w:rPr>
                      <w:rFonts w:hint="eastAsia" w:ascii="仿宋" w:hAnsi="仿宋" w:eastAsia="仿宋" w:cs="仿宋"/>
                      <w:sz w:val="28"/>
                      <w:szCs w:val="28"/>
                    </w:rPr>
                    <w:t>30人</w:t>
                  </w:r>
                </w:p>
              </w:tc>
              <w:tc>
                <w:tcPr>
                  <w:tcW w:w="3345" w:type="dxa"/>
                  <w:vAlign w:val="center"/>
                </w:tcPr>
                <w:p>
                  <w:pPr>
                    <w:spacing w:line="480" w:lineRule="auto"/>
                    <w:jc w:val="center"/>
                    <w:rPr>
                      <w:rFonts w:hint="eastAsia" w:ascii="仿宋" w:hAnsi="仿宋" w:eastAsia="仿宋" w:cs="仿宋"/>
                      <w:sz w:val="28"/>
                      <w:szCs w:val="28"/>
                    </w:rPr>
                  </w:pPr>
                  <w:r>
                    <w:rPr>
                      <w:rFonts w:hint="eastAsia" w:ascii="仿宋" w:hAnsi="仿宋" w:eastAsia="仿宋" w:cs="仿宋"/>
                      <w:sz w:val="28"/>
                      <w:szCs w:val="28"/>
                    </w:rPr>
                    <w:t>30人</w:t>
                  </w:r>
                </w:p>
              </w:tc>
              <w:tc>
                <w:tcPr>
                  <w:tcW w:w="3174" w:type="dxa"/>
                  <w:vAlign w:val="center"/>
                </w:tcPr>
                <w:p>
                  <w:pPr>
                    <w:spacing w:line="480" w:lineRule="auto"/>
                    <w:jc w:val="center"/>
                    <w:rPr>
                      <w:rFonts w:hint="eastAsia" w:ascii="仿宋" w:hAnsi="仿宋" w:eastAsia="仿宋" w:cs="仿宋"/>
                      <w:sz w:val="28"/>
                      <w:szCs w:val="28"/>
                    </w:rPr>
                  </w:pPr>
                  <w:r>
                    <w:rPr>
                      <w:rFonts w:hint="eastAsia" w:ascii="仿宋" w:hAnsi="仿宋" w:eastAsia="仿宋" w:cs="仿宋"/>
                      <w:sz w:val="28"/>
                      <w:szCs w:val="28"/>
                    </w:rPr>
                    <w:t>30人</w:t>
                  </w:r>
                </w:p>
              </w:tc>
            </w:tr>
          </w:tbl>
          <w:p>
            <w:pPr>
              <w:tabs>
                <w:tab w:val="left" w:pos="480"/>
              </w:tabs>
              <w:spacing w:line="400" w:lineRule="exact"/>
              <w:jc w:val="both"/>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2" w:hRule="atLeast"/>
        </w:trPr>
        <w:tc>
          <w:tcPr>
            <w:tcW w:w="729" w:type="dxa"/>
            <w:textDirection w:val="tbRlV"/>
          </w:tcPr>
          <w:p>
            <w:pPr>
              <w:jc w:val="center"/>
              <w:rPr>
                <w:rFonts w:hint="eastAsia" w:ascii="仿宋" w:hAnsi="仿宋" w:eastAsia="仿宋" w:cs="仿宋"/>
                <w:color w:val="1D1B11"/>
                <w:sz w:val="28"/>
                <w:szCs w:val="28"/>
              </w:rPr>
            </w:pPr>
            <w:r>
              <w:rPr>
                <w:rFonts w:hint="eastAsia" w:ascii="仿宋" w:hAnsi="仿宋" w:eastAsia="仿宋" w:cs="仿宋"/>
                <w:color w:val="1D1B11"/>
                <w:sz w:val="28"/>
                <w:szCs w:val="28"/>
              </w:rPr>
              <w:t>保障优秀生源与招生规模的措施</w:t>
            </w:r>
          </w:p>
        </w:tc>
        <w:tc>
          <w:tcPr>
            <w:tcW w:w="8565" w:type="dxa"/>
          </w:tcPr>
          <w:p>
            <w:pPr>
              <w:numPr>
                <w:ilvl w:val="0"/>
                <w:numId w:val="3"/>
              </w:numPr>
              <w:rPr>
                <w:rFonts w:hint="eastAsia" w:ascii="仿宋" w:hAnsi="仿宋" w:eastAsia="仿宋" w:cs="仿宋"/>
                <w:b/>
                <w:color w:val="1D1B11"/>
                <w:sz w:val="28"/>
                <w:szCs w:val="28"/>
              </w:rPr>
            </w:pPr>
            <w:r>
              <w:rPr>
                <w:rFonts w:hint="eastAsia" w:ascii="仿宋" w:hAnsi="仿宋" w:eastAsia="仿宋" w:cs="仿宋"/>
                <w:b/>
                <w:color w:val="1D1B11"/>
                <w:sz w:val="28"/>
                <w:szCs w:val="28"/>
              </w:rPr>
              <w:t>扩大本科生“推免”入学规模</w:t>
            </w:r>
          </w:p>
          <w:p>
            <w:pPr>
              <w:ind w:firstLine="560" w:firstLineChars="200"/>
              <w:rPr>
                <w:rFonts w:hint="eastAsia" w:ascii="仿宋" w:hAnsi="仿宋" w:eastAsia="仿宋" w:cs="仿宋"/>
                <w:bCs/>
                <w:color w:val="1D1B11"/>
                <w:sz w:val="28"/>
                <w:szCs w:val="28"/>
              </w:rPr>
            </w:pPr>
            <w:r>
              <w:rPr>
                <w:rFonts w:hint="eastAsia" w:ascii="仿宋" w:hAnsi="仿宋" w:eastAsia="仿宋" w:cs="仿宋"/>
                <w:bCs/>
                <w:color w:val="1D1B11"/>
                <w:sz w:val="28"/>
                <w:szCs w:val="28"/>
              </w:rPr>
              <w:t>按照教育部、市教委同意安排，在符合条件的基础上，适当扩大推荐优秀本科毕业生免试攻读艺术硕士（音乐方向与舞蹈方向）学位规模，可以通过早入手、选好苗、重培养等措施，提高符合推免条件学生的比例，为保证新闻学专业硕士生源打好基础。</w:t>
            </w:r>
          </w:p>
          <w:p>
            <w:pPr>
              <w:numPr>
                <w:ilvl w:val="0"/>
                <w:numId w:val="4"/>
              </w:numPr>
              <w:rPr>
                <w:rFonts w:hint="eastAsia" w:ascii="仿宋" w:hAnsi="仿宋" w:eastAsia="仿宋" w:cs="仿宋"/>
                <w:bCs/>
                <w:color w:val="1D1B11"/>
                <w:sz w:val="28"/>
                <w:szCs w:val="28"/>
              </w:rPr>
            </w:pPr>
            <w:r>
              <w:rPr>
                <w:rFonts w:hint="eastAsia" w:ascii="仿宋" w:hAnsi="仿宋" w:eastAsia="仿宋" w:cs="仿宋"/>
                <w:b/>
                <w:color w:val="1D1B11"/>
                <w:sz w:val="28"/>
                <w:szCs w:val="28"/>
              </w:rPr>
              <w:t>扩大对周边城市的宣传，京津冀一体化发展</w:t>
            </w:r>
          </w:p>
          <w:p>
            <w:pPr>
              <w:ind w:firstLine="560" w:firstLineChars="200"/>
              <w:rPr>
                <w:rFonts w:hint="eastAsia" w:ascii="仿宋" w:hAnsi="仿宋" w:eastAsia="仿宋" w:cs="仿宋"/>
                <w:bCs/>
                <w:color w:val="1D1B11"/>
                <w:sz w:val="28"/>
                <w:szCs w:val="28"/>
              </w:rPr>
            </w:pPr>
            <w:r>
              <w:rPr>
                <w:rFonts w:hint="eastAsia" w:ascii="仿宋" w:hAnsi="仿宋" w:eastAsia="仿宋" w:cs="仿宋"/>
                <w:bCs/>
                <w:color w:val="1D1B11"/>
                <w:sz w:val="28"/>
                <w:szCs w:val="28"/>
              </w:rPr>
              <w:t>通过与我们的合作媒体、往届毕业生等在周边地区进行招生政策的宣讲，包括开设巡讲、设置培训、移动互联网传播等形式，让更多的生源对本艺术专业硕士（音乐方向与舞蹈方向）深化了解。</w:t>
            </w:r>
            <w:r>
              <w:rPr>
                <w:rFonts w:hint="eastAsia" w:ascii="仿宋" w:hAnsi="仿宋" w:eastAsia="仿宋" w:cs="仿宋"/>
                <w:color w:val="1D1B11"/>
                <w:sz w:val="28"/>
                <w:szCs w:val="28"/>
              </w:rPr>
              <w:t>努力实现京津冀地区一体化发展。</w:t>
            </w:r>
          </w:p>
          <w:p>
            <w:pPr>
              <w:numPr>
                <w:ilvl w:val="0"/>
                <w:numId w:val="4"/>
              </w:numPr>
              <w:rPr>
                <w:rFonts w:hint="eastAsia" w:ascii="仿宋" w:hAnsi="仿宋" w:eastAsia="仿宋" w:cs="仿宋"/>
                <w:b/>
                <w:color w:val="1D1B11"/>
                <w:sz w:val="28"/>
                <w:szCs w:val="28"/>
              </w:rPr>
            </w:pPr>
            <w:r>
              <w:rPr>
                <w:rFonts w:hint="eastAsia" w:ascii="仿宋" w:hAnsi="仿宋" w:eastAsia="仿宋" w:cs="仿宋"/>
                <w:b/>
                <w:color w:val="1D1B11"/>
                <w:sz w:val="28"/>
                <w:szCs w:val="28"/>
              </w:rPr>
              <w:t>积极招收艺术行业在职人员入学深造</w:t>
            </w:r>
          </w:p>
          <w:p>
            <w:pPr>
              <w:ind w:firstLine="560" w:firstLineChars="200"/>
              <w:rPr>
                <w:rFonts w:hint="eastAsia" w:ascii="仿宋" w:hAnsi="仿宋" w:eastAsia="仿宋" w:cs="仿宋"/>
                <w:bCs/>
                <w:color w:val="1D1B11"/>
                <w:sz w:val="28"/>
                <w:szCs w:val="28"/>
              </w:rPr>
            </w:pPr>
            <w:r>
              <w:rPr>
                <w:rFonts w:hint="eastAsia" w:ascii="仿宋" w:hAnsi="仿宋" w:eastAsia="仿宋" w:cs="仿宋"/>
                <w:bCs/>
                <w:color w:val="1D1B11"/>
                <w:sz w:val="28"/>
                <w:szCs w:val="28"/>
              </w:rPr>
              <w:t>通过与我们的实习实践基地和相关媒体进行联合办学，鼓励在职艺术方向舞蹈领域与音乐领域人员积极入学深造，提升艺术学理论水平与专业能力，扩大本专业的优秀生源来源。</w:t>
            </w:r>
          </w:p>
          <w:p>
            <w:pPr>
              <w:numPr>
                <w:ilvl w:val="0"/>
                <w:numId w:val="4"/>
              </w:numPr>
              <w:rPr>
                <w:rFonts w:hint="eastAsia" w:ascii="仿宋" w:hAnsi="仿宋" w:eastAsia="仿宋" w:cs="仿宋"/>
                <w:b/>
                <w:color w:val="1D1B11"/>
                <w:sz w:val="28"/>
                <w:szCs w:val="28"/>
              </w:rPr>
            </w:pPr>
            <w:r>
              <w:rPr>
                <w:rFonts w:hint="eastAsia" w:ascii="仿宋" w:hAnsi="仿宋" w:eastAsia="仿宋" w:cs="仿宋"/>
                <w:b/>
                <w:color w:val="1D1B11"/>
                <w:sz w:val="28"/>
                <w:szCs w:val="28"/>
              </w:rPr>
              <w:t>不断优化师资队伍</w:t>
            </w:r>
          </w:p>
          <w:p>
            <w:pPr>
              <w:ind w:firstLine="560" w:firstLineChars="200"/>
              <w:rPr>
                <w:rFonts w:hint="eastAsia" w:ascii="仿宋" w:hAnsi="仿宋" w:eastAsia="仿宋" w:cs="仿宋"/>
                <w:color w:val="1D1B11"/>
                <w:kern w:val="0"/>
                <w:sz w:val="28"/>
                <w:szCs w:val="28"/>
              </w:rPr>
            </w:pPr>
            <w:r>
              <w:rPr>
                <w:rFonts w:hint="eastAsia" w:ascii="仿宋" w:hAnsi="仿宋" w:eastAsia="仿宋" w:cs="仿宋"/>
                <w:color w:val="1D1B11"/>
                <w:kern w:val="0"/>
                <w:sz w:val="28"/>
                <w:szCs w:val="28"/>
              </w:rPr>
              <w:t>2010年天津体育学院舞蹈学专业被评为教育部特色专业和天津市高校品牌专业，通过引进与培养相结合等多种方式，师资队伍整体水平明显提高。</w:t>
            </w:r>
            <w:r>
              <w:rPr>
                <w:rFonts w:hint="eastAsia" w:ascii="仿宋" w:hAnsi="仿宋" w:eastAsia="仿宋" w:cs="仿宋"/>
                <w:color w:val="1D1B11"/>
                <w:kern w:val="0"/>
                <w:sz w:val="28"/>
                <w:szCs w:val="28"/>
                <w:lang w:val="en-US" w:eastAsia="zh-CN"/>
              </w:rPr>
              <w:t>我们计划引进体育音乐学教授1人、体育舞蹈学教授1人。届时，师资</w:t>
            </w:r>
            <w:r>
              <w:rPr>
                <w:rFonts w:hint="eastAsia" w:ascii="仿宋" w:hAnsi="仿宋" w:eastAsia="仿宋" w:cs="仿宋"/>
                <w:color w:val="1D1B11"/>
                <w:kern w:val="0"/>
                <w:sz w:val="28"/>
                <w:szCs w:val="28"/>
              </w:rPr>
              <w:t>队伍</w:t>
            </w:r>
            <w:r>
              <w:rPr>
                <w:rFonts w:hint="eastAsia" w:ascii="仿宋" w:hAnsi="仿宋" w:eastAsia="仿宋" w:cs="仿宋"/>
                <w:color w:val="1D1B11"/>
                <w:kern w:val="0"/>
                <w:sz w:val="28"/>
                <w:szCs w:val="28"/>
                <w:lang w:val="en-US" w:eastAsia="zh-CN"/>
              </w:rPr>
              <w:t>将</w:t>
            </w:r>
            <w:r>
              <w:rPr>
                <w:rFonts w:hint="eastAsia" w:ascii="仿宋" w:hAnsi="仿宋" w:eastAsia="仿宋" w:cs="仿宋"/>
                <w:color w:val="1D1B11"/>
                <w:kern w:val="0"/>
                <w:sz w:val="28"/>
                <w:szCs w:val="28"/>
              </w:rPr>
              <w:t>是一支学科齐全、年龄结构、学缘结构、学历结构合理、擅长教学、竞赛</w:t>
            </w:r>
            <w:r>
              <w:rPr>
                <w:rFonts w:hint="eastAsia" w:ascii="仿宋" w:hAnsi="仿宋" w:eastAsia="仿宋" w:cs="仿宋"/>
                <w:color w:val="1D1B11"/>
                <w:kern w:val="0"/>
                <w:sz w:val="28"/>
                <w:szCs w:val="28"/>
                <w:lang w:val="en-US" w:eastAsia="zh-CN"/>
              </w:rPr>
              <w:t>与</w:t>
            </w:r>
            <w:r>
              <w:rPr>
                <w:rFonts w:hint="eastAsia" w:ascii="仿宋" w:hAnsi="仿宋" w:eastAsia="仿宋" w:cs="仿宋"/>
                <w:color w:val="1D1B11"/>
                <w:kern w:val="0"/>
                <w:sz w:val="28"/>
                <w:szCs w:val="28"/>
              </w:rPr>
              <w:t>科研的高水平专业队伍。</w:t>
            </w:r>
          </w:p>
          <w:p>
            <w:pPr>
              <w:rPr>
                <w:rFonts w:hint="eastAsia" w:ascii="仿宋" w:hAnsi="仿宋" w:eastAsia="仿宋" w:cs="仿宋"/>
                <w:b/>
                <w:bCs/>
                <w:color w:val="1D1B11"/>
                <w:kern w:val="0"/>
                <w:sz w:val="28"/>
                <w:szCs w:val="28"/>
              </w:rPr>
            </w:pPr>
            <w:r>
              <w:rPr>
                <w:rFonts w:hint="eastAsia" w:ascii="仿宋" w:hAnsi="仿宋" w:eastAsia="仿宋" w:cs="仿宋"/>
                <w:b/>
                <w:bCs/>
                <w:color w:val="1D1B11"/>
                <w:kern w:val="0"/>
                <w:sz w:val="28"/>
                <w:szCs w:val="28"/>
              </w:rPr>
              <w:t>五、不断完善课程体系</w:t>
            </w:r>
          </w:p>
          <w:p>
            <w:pPr>
              <w:ind w:firstLine="420" w:firstLineChars="150"/>
              <w:rPr>
                <w:rFonts w:hint="eastAsia" w:ascii="仿宋" w:hAnsi="仿宋" w:eastAsia="仿宋" w:cs="仿宋"/>
                <w:b/>
                <w:bCs/>
                <w:color w:val="1D1B11"/>
                <w:kern w:val="0"/>
                <w:sz w:val="28"/>
                <w:szCs w:val="28"/>
              </w:rPr>
            </w:pPr>
            <w:r>
              <w:rPr>
                <w:rFonts w:hint="eastAsia" w:ascii="仿宋" w:hAnsi="仿宋" w:eastAsia="仿宋" w:cs="仿宋"/>
                <w:color w:val="1D1B11"/>
                <w:sz w:val="28"/>
                <w:szCs w:val="28"/>
              </w:rPr>
              <w:t>目前已开设的研究生课程中已有包括音乐、舞蹈等相关联的课程。这些课程为艺术专业课程的开设提供了丰富的教学经验和基础</w:t>
            </w:r>
            <w:r>
              <w:rPr>
                <w:rFonts w:hint="eastAsia" w:ascii="仿宋" w:hAnsi="仿宋" w:eastAsia="仿宋" w:cs="仿宋"/>
                <w:b/>
                <w:color w:val="1D1B11"/>
                <w:sz w:val="28"/>
                <w:szCs w:val="28"/>
              </w:rPr>
              <w:t>。</w:t>
            </w:r>
            <w:r>
              <w:rPr>
                <w:rFonts w:hint="eastAsia" w:ascii="仿宋" w:hAnsi="仿宋" w:eastAsia="仿宋" w:cs="仿宋"/>
                <w:color w:val="1D1B11"/>
                <w:sz w:val="28"/>
                <w:szCs w:val="28"/>
              </w:rPr>
              <w:t>同时，舞蹈学本科开设了舞蹈艺术概论、体育艺术概论、音乐基础理论与音乐制作、舞蹈编导技法、音乐心理治疗、大型文体表演、芭蕾基训、剧目排练、以及具有体育艺术特性的体育舞蹈、健美操、艺术体操、啦啦操、街舞、瑜伽、水中健身以及社会流行舞蹈等专业方向课程。这些课程为建设艺术学专业（音乐方向）硕士研究生专业提供了较为完备的课程体系基础。音乐与舞蹈类专业隶属艺术门类新增一级学科，武汉体育学院进行了</w:t>
            </w:r>
            <w:r>
              <w:rPr>
                <w:rFonts w:hint="eastAsia" w:ascii="仿宋" w:hAnsi="仿宋" w:eastAsia="仿宋" w:cs="仿宋"/>
                <w:bCs/>
                <w:color w:val="1D1B11"/>
                <w:sz w:val="28"/>
                <w:szCs w:val="28"/>
              </w:rPr>
              <w:t>以舞蹈学专业为本的音乐与舞蹈学专业硕士研究生人才培养的新尝试，备受欢迎，由此看来，艺术学学科将舞蹈、体育舞蹈、音乐以及具有艺术特性的体育运动项目进行了凝练，具潜在发展的特性。</w:t>
            </w:r>
            <w:r>
              <w:rPr>
                <w:rFonts w:hint="eastAsia" w:ascii="仿宋" w:hAnsi="仿宋" w:eastAsia="仿宋" w:cs="仿宋"/>
                <w:b/>
                <w:bCs/>
                <w:color w:val="1D1B11"/>
                <w:sz w:val="28"/>
                <w:szCs w:val="28"/>
              </w:rPr>
              <w:t xml:space="preserve"> </w:t>
            </w:r>
          </w:p>
          <w:p>
            <w:pPr>
              <w:rPr>
                <w:rFonts w:hint="eastAsia" w:ascii="仿宋" w:hAnsi="仿宋" w:eastAsia="仿宋" w:cs="仿宋"/>
                <w:b/>
                <w:color w:val="1D1B11"/>
                <w:sz w:val="28"/>
                <w:szCs w:val="28"/>
              </w:rPr>
            </w:pPr>
            <w:r>
              <w:rPr>
                <w:rFonts w:hint="eastAsia" w:ascii="仿宋" w:hAnsi="仿宋" w:eastAsia="仿宋" w:cs="仿宋"/>
                <w:b/>
                <w:color w:val="1D1B11"/>
                <w:sz w:val="28"/>
                <w:szCs w:val="28"/>
              </w:rPr>
              <w:t>六、适应社会需求，培养社会需要的人才</w:t>
            </w:r>
          </w:p>
          <w:p>
            <w:pPr>
              <w:tabs>
                <w:tab w:val="left" w:pos="480"/>
              </w:tabs>
              <w:ind w:firstLine="420"/>
              <w:outlineLvl w:val="0"/>
              <w:rPr>
                <w:rFonts w:hint="eastAsia" w:ascii="仿宋" w:hAnsi="仿宋" w:eastAsia="仿宋" w:cs="仿宋"/>
                <w:color w:val="1D1B11"/>
                <w:kern w:val="0"/>
                <w:sz w:val="28"/>
                <w:szCs w:val="28"/>
              </w:rPr>
            </w:pPr>
            <w:r>
              <w:rPr>
                <w:rFonts w:hint="eastAsia" w:ascii="仿宋" w:hAnsi="仿宋" w:eastAsia="仿宋" w:cs="仿宋"/>
                <w:color w:val="1D1B11"/>
                <w:kern w:val="0"/>
                <w:sz w:val="28"/>
                <w:szCs w:val="28"/>
              </w:rPr>
              <w:t>随着我国文化、体育体制改革的深入，舞蹈与音乐早已成为人们基本社会生活需要之一，同时精神文化层面的需要也日益显露。服务于音乐与舞蹈的文化传承与发展的“经典学院式”人才培养模式，因其高度的艺术性，很难满足所有社会群体需要。以竞技体育为目标培养的专门性体育人才也很难满足社会群体的文化需求。因此，在推动社会主义文化大发展大繁荣以及建设天津文化强市目标背景下，培养高层次音乐与舞蹈交叉学科融合的复合型人才，以满足社会日益增长的艺术文化中音乐方向的需求，成设置该学科的主要支撑之一。</w:t>
            </w:r>
          </w:p>
          <w:p>
            <w:pPr>
              <w:tabs>
                <w:tab w:val="left" w:pos="480"/>
              </w:tabs>
              <w:ind w:firstLine="420"/>
              <w:outlineLvl w:val="0"/>
              <w:rPr>
                <w:rFonts w:hint="eastAsia" w:ascii="仿宋" w:hAnsi="仿宋" w:eastAsia="仿宋" w:cs="仿宋"/>
                <w:color w:val="1D1B11"/>
                <w:kern w:val="0"/>
                <w:sz w:val="28"/>
                <w:szCs w:val="28"/>
              </w:rPr>
            </w:pPr>
            <w:r>
              <w:rPr>
                <w:rFonts w:hint="eastAsia" w:ascii="仿宋" w:hAnsi="仿宋" w:eastAsia="仿宋" w:cs="仿宋"/>
                <w:color w:val="1D1B11"/>
                <w:kern w:val="0"/>
                <w:sz w:val="28"/>
                <w:szCs w:val="28"/>
              </w:rPr>
              <w:t xml:space="preserve">而且单一艺术活动组织者已经不能满足企事业单位多元社会文化活动组织和管理的需要。各个企事业单位急需高层次的艺术文化活动（音乐方向和舞蹈方向）的组织者和管理者。这一社会变化促使了社会大量需求高层次的音乐与舞蹈方向相关的组织和管理人才。 </w:t>
            </w:r>
          </w:p>
          <w:p>
            <w:pPr>
              <w:tabs>
                <w:tab w:val="left" w:pos="480"/>
              </w:tabs>
              <w:ind w:firstLine="420"/>
              <w:outlineLvl w:val="0"/>
              <w:rPr>
                <w:rFonts w:hint="eastAsia" w:ascii="仿宋" w:hAnsi="仿宋" w:eastAsia="仿宋" w:cs="仿宋"/>
                <w:bCs/>
                <w:color w:val="1D1B11"/>
                <w:sz w:val="28"/>
                <w:szCs w:val="28"/>
              </w:rPr>
            </w:pPr>
            <w:r>
              <w:rPr>
                <w:rFonts w:hint="eastAsia" w:ascii="仿宋" w:hAnsi="仿宋" w:eastAsia="仿宋" w:cs="仿宋"/>
                <w:color w:val="1D1B11"/>
                <w:kern w:val="0"/>
                <w:sz w:val="28"/>
                <w:szCs w:val="28"/>
              </w:rPr>
              <w:t>艺术学作为一门新兴的综合学科，有着广阔的应用和发展前景。从理论构建方面，系统研究音乐与舞蹈融合的基本理论，以及音乐与舞蹈对人的影响与教育中的方法、途径，从而形成有特色完整的学科体系。从人才培养方面，建立艺术学专业音乐方向硕士，有利于构建从本科到硕士研究生的学历层次、课程等多层次、多类型的培养体系。从应用方面，构建一支经过专业培养的、围绕音乐与舞蹈特色的、服务于音乐与舞蹈融合的体育艺术文化市场需求的复合型实用性高级专门人才队伍。</w:t>
            </w:r>
            <w:r>
              <w:rPr>
                <w:rFonts w:hint="eastAsia" w:ascii="仿宋" w:hAnsi="仿宋" w:eastAsia="仿宋" w:cs="仿宋"/>
                <w:color w:val="1D1B11"/>
                <w:kern w:val="0"/>
                <w:sz w:val="28"/>
                <w:szCs w:val="28"/>
              </w:rPr>
              <w:cr/>
            </w:r>
            <w:r>
              <w:rPr>
                <w:rFonts w:hint="eastAsia" w:ascii="仿宋" w:hAnsi="仿宋" w:eastAsia="仿宋" w:cs="仿宋"/>
                <w:color w:val="1D1B11"/>
                <w:kern w:val="0"/>
                <w:sz w:val="28"/>
                <w:szCs w:val="28"/>
              </w:rPr>
              <w:t xml:space="preserve">    为</w:t>
            </w:r>
            <w:r>
              <w:rPr>
                <w:rFonts w:hint="eastAsia" w:ascii="仿宋" w:hAnsi="仿宋" w:eastAsia="仿宋" w:cs="仿宋"/>
                <w:color w:val="1D1B11"/>
                <w:sz w:val="28"/>
                <w:szCs w:val="28"/>
              </w:rPr>
              <w:t>迎合现代社会发展需求，</w:t>
            </w:r>
            <w:r>
              <w:rPr>
                <w:rFonts w:hint="eastAsia" w:ascii="仿宋" w:hAnsi="仿宋" w:eastAsia="仿宋" w:cs="仿宋"/>
                <w:bCs/>
                <w:color w:val="1D1B11"/>
                <w:sz w:val="28"/>
                <w:szCs w:val="28"/>
              </w:rPr>
              <w:t>培养德、智、体、美全面发展，具有扎实的体育学、艺术学基础理论知识，掌握现代艺术表演与研究方法，培养具有艺术表演教育能力、体育表演、舞蹈作品创编能力、体育艺术表演理论与实践应用与研究并行能力的，能独立胜任体育艺术及相关专业岗位的教学、训练、组织管理与科学研究的体育与艺术融合的复合型实用性高级专门人才。</w:t>
            </w:r>
          </w:p>
          <w:p>
            <w:pPr>
              <w:tabs>
                <w:tab w:val="left" w:pos="480"/>
              </w:tabs>
              <w:ind w:firstLine="420"/>
              <w:outlineLvl w:val="0"/>
              <w:rPr>
                <w:rFonts w:hint="eastAsia" w:ascii="仿宋" w:hAnsi="仿宋" w:eastAsia="仿宋" w:cs="仿宋"/>
                <w:bCs/>
                <w:color w:val="1D1B11"/>
                <w:sz w:val="28"/>
                <w:szCs w:val="28"/>
              </w:rPr>
            </w:pPr>
          </w:p>
          <w:p>
            <w:pPr>
              <w:tabs>
                <w:tab w:val="left" w:pos="480"/>
              </w:tabs>
              <w:ind w:firstLine="420"/>
              <w:outlineLvl w:val="0"/>
              <w:rPr>
                <w:rFonts w:hint="eastAsia" w:ascii="仿宋" w:hAnsi="仿宋" w:eastAsia="仿宋" w:cs="仿宋"/>
                <w:bCs/>
                <w:color w:val="1D1B11"/>
                <w:sz w:val="28"/>
                <w:szCs w:val="28"/>
              </w:rPr>
            </w:pPr>
          </w:p>
          <w:p>
            <w:pPr>
              <w:tabs>
                <w:tab w:val="left" w:pos="480"/>
              </w:tabs>
              <w:ind w:firstLine="420"/>
              <w:outlineLvl w:val="0"/>
              <w:rPr>
                <w:rFonts w:hint="eastAsia" w:ascii="仿宋" w:hAnsi="仿宋" w:eastAsia="仿宋" w:cs="仿宋"/>
                <w:bCs/>
                <w:color w:val="1D1B11"/>
                <w:sz w:val="28"/>
                <w:szCs w:val="28"/>
              </w:rPr>
            </w:pPr>
          </w:p>
          <w:p>
            <w:pPr>
              <w:tabs>
                <w:tab w:val="left" w:pos="480"/>
              </w:tabs>
              <w:ind w:firstLine="420"/>
              <w:outlineLvl w:val="0"/>
              <w:rPr>
                <w:rFonts w:hint="eastAsia" w:ascii="仿宋" w:hAnsi="仿宋" w:eastAsia="仿宋" w:cs="仿宋"/>
                <w:bCs/>
                <w:color w:val="1D1B11"/>
                <w:sz w:val="28"/>
                <w:szCs w:val="28"/>
              </w:rPr>
            </w:pPr>
          </w:p>
          <w:p>
            <w:pPr>
              <w:tabs>
                <w:tab w:val="left" w:pos="480"/>
              </w:tabs>
              <w:ind w:firstLine="420"/>
              <w:outlineLvl w:val="0"/>
              <w:rPr>
                <w:rFonts w:hint="eastAsia" w:ascii="仿宋" w:hAnsi="仿宋" w:eastAsia="仿宋" w:cs="仿宋"/>
                <w:bCs/>
                <w:color w:val="1D1B11"/>
                <w:sz w:val="28"/>
                <w:szCs w:val="28"/>
              </w:rPr>
            </w:pPr>
          </w:p>
          <w:p>
            <w:pPr>
              <w:tabs>
                <w:tab w:val="left" w:pos="480"/>
              </w:tabs>
              <w:spacing w:line="400" w:lineRule="exact"/>
              <w:outlineLvl w:val="0"/>
              <w:rPr>
                <w:rFonts w:hint="eastAsia" w:ascii="仿宋" w:hAnsi="仿宋" w:eastAsia="仿宋" w:cs="仿宋"/>
                <w:color w:val="1D1B11"/>
                <w:sz w:val="28"/>
                <w:szCs w:val="28"/>
              </w:rPr>
            </w:pPr>
          </w:p>
        </w:tc>
      </w:tr>
    </w:tbl>
    <w:p>
      <w:pPr>
        <w:widowControl/>
        <w:jc w:val="left"/>
        <w:rPr>
          <w:rFonts w:hint="eastAsia" w:ascii="仿宋" w:hAnsi="仿宋" w:eastAsia="仿宋" w:cs="仿宋"/>
          <w:b/>
          <w:sz w:val="28"/>
          <w:szCs w:val="28"/>
        </w:rPr>
      </w:pPr>
      <w:r>
        <w:rPr>
          <w:rFonts w:hint="eastAsia" w:ascii="仿宋" w:hAnsi="仿宋" w:eastAsia="仿宋" w:cs="仿宋"/>
          <w:sz w:val="28"/>
          <w:szCs w:val="28"/>
        </w:rPr>
        <w:br w:type="page"/>
      </w:r>
      <w:r>
        <w:rPr>
          <w:rFonts w:hint="eastAsia" w:ascii="仿宋" w:hAnsi="仿宋" w:eastAsia="仿宋" w:cs="仿宋"/>
          <w:b/>
          <w:sz w:val="28"/>
          <w:szCs w:val="28"/>
        </w:rPr>
        <w:t>Ⅱ 支撑学科专业</w:t>
      </w:r>
    </w:p>
    <w:tbl>
      <w:tblPr>
        <w:tblStyle w:val="7"/>
        <w:tblpPr w:leftFromText="180" w:rightFromText="180" w:vertAnchor="page" w:horzAnchor="margin" w:tblpX="108" w:tblpY="222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3960"/>
        <w:gridCol w:w="227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6" w:type="dxa"/>
            <w:vMerge w:val="restart"/>
            <w:textDirection w:val="tbRlV"/>
            <w:vAlign w:val="center"/>
          </w:tcPr>
          <w:p>
            <w:pPr>
              <w:tabs>
                <w:tab w:val="left" w:pos="480"/>
              </w:tabs>
              <w:spacing w:line="360" w:lineRule="exact"/>
              <w:ind w:right="113" w:rightChars="54"/>
              <w:jc w:val="center"/>
              <w:outlineLvl w:val="0"/>
              <w:rPr>
                <w:rFonts w:hint="eastAsia" w:ascii="仿宋" w:hAnsi="仿宋" w:eastAsia="仿宋" w:cs="仿宋"/>
                <w:sz w:val="28"/>
                <w:szCs w:val="28"/>
              </w:rPr>
            </w:pPr>
            <w:r>
              <w:rPr>
                <w:rFonts w:hint="eastAsia" w:ascii="仿宋" w:hAnsi="仿宋" w:eastAsia="仿宋" w:cs="仿宋"/>
                <w:sz w:val="28"/>
                <w:szCs w:val="28"/>
              </w:rPr>
              <w:t>相关学科专业基本情况</w:t>
            </w:r>
          </w:p>
        </w:tc>
        <w:tc>
          <w:tcPr>
            <w:tcW w:w="3960" w:type="dxa"/>
            <w:vAlign w:val="center"/>
          </w:tcPr>
          <w:p>
            <w:pPr>
              <w:tabs>
                <w:tab w:val="left" w:pos="480"/>
              </w:tabs>
              <w:spacing w:line="400" w:lineRule="exact"/>
              <w:jc w:val="center"/>
              <w:outlineLvl w:val="0"/>
              <w:rPr>
                <w:rFonts w:hint="eastAsia" w:ascii="仿宋" w:hAnsi="仿宋" w:eastAsia="仿宋" w:cs="仿宋"/>
                <w:sz w:val="28"/>
                <w:szCs w:val="28"/>
              </w:rPr>
            </w:pPr>
            <w:r>
              <w:rPr>
                <w:rFonts w:hint="eastAsia" w:ascii="仿宋" w:hAnsi="仿宋" w:eastAsia="仿宋" w:cs="仿宋"/>
                <w:sz w:val="28"/>
                <w:szCs w:val="28"/>
              </w:rPr>
              <w:t>相关学科专业名称</w:t>
            </w:r>
          </w:p>
        </w:tc>
        <w:tc>
          <w:tcPr>
            <w:tcW w:w="2275" w:type="dxa"/>
            <w:vAlign w:val="center"/>
          </w:tcPr>
          <w:p>
            <w:pPr>
              <w:tabs>
                <w:tab w:val="left" w:pos="480"/>
              </w:tabs>
              <w:spacing w:line="400" w:lineRule="exact"/>
              <w:jc w:val="center"/>
              <w:outlineLvl w:val="0"/>
              <w:rPr>
                <w:rFonts w:hint="eastAsia" w:ascii="仿宋" w:hAnsi="仿宋" w:eastAsia="仿宋" w:cs="仿宋"/>
                <w:sz w:val="28"/>
                <w:szCs w:val="28"/>
              </w:rPr>
            </w:pPr>
            <w:r>
              <w:rPr>
                <w:rFonts w:hint="eastAsia" w:ascii="仿宋" w:hAnsi="仿宋" w:eastAsia="仿宋" w:cs="仿宋"/>
                <w:sz w:val="28"/>
                <w:szCs w:val="28"/>
              </w:rPr>
              <w:t>招生时间</w:t>
            </w:r>
          </w:p>
        </w:tc>
        <w:tc>
          <w:tcPr>
            <w:tcW w:w="2268" w:type="dxa"/>
            <w:vAlign w:val="center"/>
          </w:tcPr>
          <w:p>
            <w:pPr>
              <w:tabs>
                <w:tab w:val="left" w:pos="480"/>
              </w:tabs>
              <w:spacing w:line="400" w:lineRule="exact"/>
              <w:jc w:val="center"/>
              <w:outlineLvl w:val="0"/>
              <w:rPr>
                <w:rFonts w:hint="eastAsia" w:ascii="仿宋" w:hAnsi="仿宋" w:eastAsia="仿宋" w:cs="仿宋"/>
                <w:sz w:val="28"/>
                <w:szCs w:val="28"/>
              </w:rPr>
            </w:pPr>
            <w:r>
              <w:rPr>
                <w:rFonts w:hint="eastAsia" w:ascii="仿宋" w:hAnsi="仿宋" w:eastAsia="仿宋" w:cs="仿宋"/>
                <w:sz w:val="28"/>
                <w:szCs w:val="28"/>
              </w:rPr>
              <w:t>获得学位授权时间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6" w:type="dxa"/>
            <w:vMerge w:val="continue"/>
            <w:textDirection w:val="tbRlV"/>
            <w:vAlign w:val="center"/>
          </w:tcPr>
          <w:p>
            <w:pPr>
              <w:tabs>
                <w:tab w:val="left" w:pos="480"/>
              </w:tabs>
              <w:spacing w:line="360" w:lineRule="exact"/>
              <w:ind w:right="113" w:rightChars="54"/>
              <w:jc w:val="center"/>
              <w:outlineLvl w:val="0"/>
              <w:rPr>
                <w:rFonts w:hint="eastAsia" w:ascii="仿宋" w:hAnsi="仿宋" w:eastAsia="仿宋" w:cs="仿宋"/>
                <w:sz w:val="28"/>
                <w:szCs w:val="28"/>
              </w:rPr>
            </w:pPr>
          </w:p>
        </w:tc>
        <w:tc>
          <w:tcPr>
            <w:tcW w:w="3960" w:type="dxa"/>
            <w:vAlign w:val="center"/>
          </w:tcPr>
          <w:p>
            <w:pPr>
              <w:tabs>
                <w:tab w:val="left" w:pos="480"/>
              </w:tabs>
              <w:spacing w:line="400" w:lineRule="exact"/>
              <w:jc w:val="center"/>
              <w:outlineLvl w:val="0"/>
              <w:rPr>
                <w:rFonts w:hint="eastAsia" w:ascii="仿宋" w:hAnsi="仿宋" w:eastAsia="仿宋" w:cs="仿宋"/>
                <w:sz w:val="28"/>
                <w:szCs w:val="28"/>
              </w:rPr>
            </w:pPr>
            <w:r>
              <w:rPr>
                <w:rFonts w:hint="eastAsia" w:ascii="仿宋" w:hAnsi="仿宋" w:eastAsia="仿宋" w:cs="仿宋"/>
                <w:sz w:val="28"/>
                <w:szCs w:val="28"/>
              </w:rPr>
              <w:t>体育舞蹈学（硕士）</w:t>
            </w:r>
          </w:p>
        </w:tc>
        <w:tc>
          <w:tcPr>
            <w:tcW w:w="2275" w:type="dxa"/>
            <w:vAlign w:val="center"/>
          </w:tcPr>
          <w:p>
            <w:pPr>
              <w:tabs>
                <w:tab w:val="left" w:pos="480"/>
              </w:tabs>
              <w:spacing w:line="400" w:lineRule="exact"/>
              <w:jc w:val="center"/>
              <w:outlineLvl w:val="0"/>
              <w:rPr>
                <w:rFonts w:hint="eastAsia" w:ascii="仿宋" w:hAnsi="仿宋" w:eastAsia="仿宋" w:cs="仿宋"/>
                <w:sz w:val="28"/>
                <w:szCs w:val="28"/>
              </w:rPr>
            </w:pPr>
            <w:r>
              <w:rPr>
                <w:rFonts w:hint="eastAsia" w:ascii="仿宋" w:hAnsi="仿宋" w:eastAsia="仿宋" w:cs="仿宋"/>
                <w:sz w:val="28"/>
                <w:szCs w:val="28"/>
              </w:rPr>
              <w:t>2001年</w:t>
            </w:r>
          </w:p>
        </w:tc>
        <w:tc>
          <w:tcPr>
            <w:tcW w:w="2268" w:type="dxa"/>
            <w:vAlign w:val="center"/>
          </w:tcPr>
          <w:p>
            <w:pPr>
              <w:tabs>
                <w:tab w:val="left" w:pos="480"/>
              </w:tabs>
              <w:spacing w:line="400" w:lineRule="exact"/>
              <w:jc w:val="center"/>
              <w:outlineLvl w:val="0"/>
              <w:rPr>
                <w:rFonts w:hint="eastAsia" w:ascii="仿宋" w:hAnsi="仿宋" w:eastAsia="仿宋" w:cs="仿宋"/>
                <w:sz w:val="28"/>
                <w:szCs w:val="28"/>
              </w:rPr>
            </w:pPr>
            <w:r>
              <w:rPr>
                <w:rFonts w:hint="eastAsia" w:ascii="仿宋" w:hAnsi="仿宋" w:eastAsia="仿宋" w:cs="仿宋"/>
                <w:sz w:val="28"/>
                <w:szCs w:val="28"/>
              </w:rPr>
              <w:t>2001年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6" w:type="dxa"/>
            <w:vMerge w:val="continue"/>
            <w:textDirection w:val="tbRlV"/>
            <w:vAlign w:val="center"/>
          </w:tcPr>
          <w:p>
            <w:pPr>
              <w:tabs>
                <w:tab w:val="left" w:pos="480"/>
              </w:tabs>
              <w:spacing w:line="360" w:lineRule="exact"/>
              <w:ind w:right="113" w:rightChars="54"/>
              <w:jc w:val="center"/>
              <w:outlineLvl w:val="0"/>
              <w:rPr>
                <w:rFonts w:hint="eastAsia" w:ascii="仿宋" w:hAnsi="仿宋" w:eastAsia="仿宋" w:cs="仿宋"/>
                <w:sz w:val="28"/>
                <w:szCs w:val="28"/>
              </w:rPr>
            </w:pPr>
          </w:p>
        </w:tc>
        <w:tc>
          <w:tcPr>
            <w:tcW w:w="3960" w:type="dxa"/>
            <w:vAlign w:val="center"/>
          </w:tcPr>
          <w:p>
            <w:pPr>
              <w:tabs>
                <w:tab w:val="left" w:pos="480"/>
              </w:tabs>
              <w:spacing w:line="400" w:lineRule="exact"/>
              <w:jc w:val="center"/>
              <w:outlineLvl w:val="0"/>
              <w:rPr>
                <w:rFonts w:hint="eastAsia" w:ascii="仿宋" w:hAnsi="仿宋" w:eastAsia="仿宋" w:cs="仿宋"/>
                <w:sz w:val="28"/>
                <w:szCs w:val="28"/>
              </w:rPr>
            </w:pPr>
            <w:r>
              <w:rPr>
                <w:rFonts w:hint="eastAsia" w:ascii="仿宋" w:hAnsi="仿宋" w:eastAsia="仿宋" w:cs="仿宋"/>
                <w:sz w:val="28"/>
                <w:szCs w:val="28"/>
              </w:rPr>
              <w:t>舞蹈教育（本科）</w:t>
            </w:r>
          </w:p>
        </w:tc>
        <w:tc>
          <w:tcPr>
            <w:tcW w:w="2275" w:type="dxa"/>
            <w:vAlign w:val="center"/>
          </w:tcPr>
          <w:p>
            <w:pPr>
              <w:tabs>
                <w:tab w:val="left" w:pos="480"/>
              </w:tabs>
              <w:spacing w:line="400" w:lineRule="exact"/>
              <w:jc w:val="center"/>
              <w:outlineLvl w:val="0"/>
              <w:rPr>
                <w:rFonts w:hint="eastAsia" w:ascii="仿宋" w:hAnsi="仿宋" w:eastAsia="仿宋" w:cs="仿宋"/>
                <w:sz w:val="28"/>
                <w:szCs w:val="28"/>
              </w:rPr>
            </w:pPr>
            <w:r>
              <w:rPr>
                <w:rFonts w:hint="eastAsia" w:ascii="仿宋" w:hAnsi="仿宋" w:eastAsia="仿宋" w:cs="仿宋"/>
                <w:sz w:val="28"/>
                <w:szCs w:val="28"/>
              </w:rPr>
              <w:t>2001年</w:t>
            </w:r>
          </w:p>
        </w:tc>
        <w:tc>
          <w:tcPr>
            <w:tcW w:w="2268" w:type="dxa"/>
            <w:vAlign w:val="center"/>
          </w:tcPr>
          <w:p>
            <w:pPr>
              <w:tabs>
                <w:tab w:val="left" w:pos="480"/>
              </w:tabs>
              <w:spacing w:line="400" w:lineRule="exact"/>
              <w:jc w:val="center"/>
              <w:outlineLvl w:val="0"/>
              <w:rPr>
                <w:rFonts w:hint="eastAsia" w:ascii="仿宋" w:hAnsi="仿宋" w:eastAsia="仿宋" w:cs="仿宋"/>
                <w:sz w:val="28"/>
                <w:szCs w:val="28"/>
              </w:rPr>
            </w:pPr>
            <w:r>
              <w:rPr>
                <w:rFonts w:hint="eastAsia" w:ascii="仿宋" w:hAnsi="仿宋" w:eastAsia="仿宋" w:cs="仿宋"/>
                <w:sz w:val="28"/>
                <w:szCs w:val="28"/>
              </w:rPr>
              <w:t>2001年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6" w:type="dxa"/>
            <w:vMerge w:val="continue"/>
            <w:textDirection w:val="tbRlV"/>
            <w:vAlign w:val="center"/>
          </w:tcPr>
          <w:p>
            <w:pPr>
              <w:tabs>
                <w:tab w:val="left" w:pos="480"/>
              </w:tabs>
              <w:spacing w:line="360" w:lineRule="exact"/>
              <w:ind w:right="113" w:rightChars="54"/>
              <w:jc w:val="center"/>
              <w:outlineLvl w:val="0"/>
              <w:rPr>
                <w:rFonts w:hint="eastAsia" w:ascii="仿宋" w:hAnsi="仿宋" w:eastAsia="仿宋" w:cs="仿宋"/>
                <w:sz w:val="28"/>
                <w:szCs w:val="28"/>
              </w:rPr>
            </w:pPr>
          </w:p>
        </w:tc>
        <w:tc>
          <w:tcPr>
            <w:tcW w:w="3960" w:type="dxa"/>
            <w:vAlign w:val="center"/>
          </w:tcPr>
          <w:p>
            <w:pPr>
              <w:tabs>
                <w:tab w:val="left" w:pos="480"/>
              </w:tabs>
              <w:spacing w:line="400" w:lineRule="exact"/>
              <w:jc w:val="center"/>
              <w:outlineLvl w:val="0"/>
              <w:rPr>
                <w:rFonts w:hint="eastAsia" w:ascii="仿宋" w:hAnsi="仿宋" w:eastAsia="仿宋" w:cs="仿宋"/>
                <w:sz w:val="28"/>
                <w:szCs w:val="28"/>
              </w:rPr>
            </w:pPr>
            <w:r>
              <w:rPr>
                <w:rFonts w:hint="eastAsia" w:ascii="仿宋" w:hAnsi="仿宋" w:eastAsia="仿宋" w:cs="仿宋"/>
                <w:sz w:val="28"/>
                <w:szCs w:val="28"/>
              </w:rPr>
              <w:t>艺术体育 （本科）</w:t>
            </w:r>
          </w:p>
        </w:tc>
        <w:tc>
          <w:tcPr>
            <w:tcW w:w="2275" w:type="dxa"/>
            <w:vAlign w:val="center"/>
          </w:tcPr>
          <w:p>
            <w:pPr>
              <w:tabs>
                <w:tab w:val="left" w:pos="480"/>
              </w:tabs>
              <w:spacing w:line="400" w:lineRule="exact"/>
              <w:jc w:val="center"/>
              <w:outlineLvl w:val="0"/>
              <w:rPr>
                <w:rFonts w:hint="eastAsia" w:ascii="仿宋" w:hAnsi="仿宋" w:eastAsia="仿宋" w:cs="仿宋"/>
                <w:sz w:val="28"/>
                <w:szCs w:val="28"/>
              </w:rPr>
            </w:pPr>
            <w:r>
              <w:rPr>
                <w:rFonts w:hint="eastAsia" w:ascii="仿宋" w:hAnsi="仿宋" w:eastAsia="仿宋" w:cs="仿宋"/>
                <w:sz w:val="28"/>
                <w:szCs w:val="28"/>
              </w:rPr>
              <w:t>2001年</w:t>
            </w:r>
          </w:p>
        </w:tc>
        <w:tc>
          <w:tcPr>
            <w:tcW w:w="2268" w:type="dxa"/>
            <w:vAlign w:val="center"/>
          </w:tcPr>
          <w:p>
            <w:pPr>
              <w:tabs>
                <w:tab w:val="left" w:pos="480"/>
              </w:tabs>
              <w:spacing w:line="400" w:lineRule="exact"/>
              <w:jc w:val="center"/>
              <w:outlineLvl w:val="0"/>
              <w:rPr>
                <w:rFonts w:hint="eastAsia" w:ascii="仿宋" w:hAnsi="仿宋" w:eastAsia="仿宋" w:cs="仿宋"/>
                <w:sz w:val="28"/>
                <w:szCs w:val="28"/>
              </w:rPr>
            </w:pPr>
            <w:r>
              <w:rPr>
                <w:rFonts w:hint="eastAsia" w:ascii="仿宋" w:hAnsi="仿宋" w:eastAsia="仿宋" w:cs="仿宋"/>
                <w:sz w:val="28"/>
                <w:szCs w:val="28"/>
              </w:rPr>
              <w:t>2001年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6" w:type="dxa"/>
            <w:vMerge w:val="continue"/>
            <w:textDirection w:val="tbRlV"/>
            <w:vAlign w:val="center"/>
          </w:tcPr>
          <w:p>
            <w:pPr>
              <w:tabs>
                <w:tab w:val="left" w:pos="480"/>
              </w:tabs>
              <w:spacing w:line="360" w:lineRule="exact"/>
              <w:ind w:right="113" w:rightChars="54"/>
              <w:jc w:val="center"/>
              <w:outlineLvl w:val="0"/>
              <w:rPr>
                <w:rFonts w:hint="eastAsia" w:ascii="仿宋" w:hAnsi="仿宋" w:eastAsia="仿宋" w:cs="仿宋"/>
                <w:sz w:val="28"/>
                <w:szCs w:val="28"/>
              </w:rPr>
            </w:pPr>
          </w:p>
        </w:tc>
        <w:tc>
          <w:tcPr>
            <w:tcW w:w="3960" w:type="dxa"/>
            <w:vAlign w:val="center"/>
          </w:tcPr>
          <w:p>
            <w:pPr>
              <w:tabs>
                <w:tab w:val="left" w:pos="480"/>
              </w:tabs>
              <w:spacing w:line="400" w:lineRule="exact"/>
              <w:jc w:val="center"/>
              <w:outlineLvl w:val="0"/>
              <w:rPr>
                <w:rFonts w:hint="eastAsia" w:ascii="仿宋" w:hAnsi="仿宋" w:eastAsia="仿宋" w:cs="仿宋"/>
                <w:sz w:val="28"/>
                <w:szCs w:val="28"/>
              </w:rPr>
            </w:pPr>
            <w:r>
              <w:rPr>
                <w:rFonts w:hint="eastAsia" w:ascii="仿宋" w:hAnsi="仿宋" w:eastAsia="仿宋" w:cs="仿宋"/>
                <w:sz w:val="28"/>
                <w:szCs w:val="28"/>
              </w:rPr>
              <w:t>体育舞蹈（本科）</w:t>
            </w:r>
          </w:p>
        </w:tc>
        <w:tc>
          <w:tcPr>
            <w:tcW w:w="2275" w:type="dxa"/>
            <w:vAlign w:val="center"/>
          </w:tcPr>
          <w:p>
            <w:pPr>
              <w:tabs>
                <w:tab w:val="left" w:pos="480"/>
              </w:tabs>
              <w:spacing w:line="400" w:lineRule="exact"/>
              <w:jc w:val="center"/>
              <w:outlineLvl w:val="0"/>
              <w:rPr>
                <w:rFonts w:hint="eastAsia" w:ascii="仿宋" w:hAnsi="仿宋" w:eastAsia="仿宋" w:cs="仿宋"/>
                <w:sz w:val="28"/>
                <w:szCs w:val="28"/>
              </w:rPr>
            </w:pPr>
            <w:r>
              <w:rPr>
                <w:rFonts w:hint="eastAsia" w:ascii="仿宋" w:hAnsi="仿宋" w:eastAsia="仿宋" w:cs="仿宋"/>
                <w:sz w:val="28"/>
                <w:szCs w:val="28"/>
              </w:rPr>
              <w:t>2001年</w:t>
            </w:r>
          </w:p>
        </w:tc>
        <w:tc>
          <w:tcPr>
            <w:tcW w:w="2268" w:type="dxa"/>
            <w:vAlign w:val="center"/>
          </w:tcPr>
          <w:p>
            <w:pPr>
              <w:tabs>
                <w:tab w:val="left" w:pos="480"/>
              </w:tabs>
              <w:spacing w:line="400" w:lineRule="exact"/>
              <w:jc w:val="center"/>
              <w:outlineLvl w:val="0"/>
              <w:rPr>
                <w:rFonts w:hint="eastAsia" w:ascii="仿宋" w:hAnsi="仿宋" w:eastAsia="仿宋" w:cs="仿宋"/>
                <w:sz w:val="28"/>
                <w:szCs w:val="28"/>
              </w:rPr>
            </w:pPr>
            <w:r>
              <w:rPr>
                <w:rFonts w:hint="eastAsia" w:ascii="仿宋" w:hAnsi="仿宋" w:eastAsia="仿宋" w:cs="仿宋"/>
                <w:sz w:val="28"/>
                <w:szCs w:val="28"/>
              </w:rPr>
              <w:t>2001年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6" w:type="dxa"/>
            <w:vMerge w:val="continue"/>
            <w:textDirection w:val="tbRlV"/>
            <w:vAlign w:val="center"/>
          </w:tcPr>
          <w:p>
            <w:pPr>
              <w:tabs>
                <w:tab w:val="left" w:pos="480"/>
              </w:tabs>
              <w:spacing w:line="360" w:lineRule="exact"/>
              <w:ind w:right="113" w:rightChars="54"/>
              <w:jc w:val="center"/>
              <w:outlineLvl w:val="0"/>
              <w:rPr>
                <w:rFonts w:hint="eastAsia" w:ascii="仿宋" w:hAnsi="仿宋" w:eastAsia="仿宋" w:cs="仿宋"/>
                <w:sz w:val="28"/>
                <w:szCs w:val="28"/>
              </w:rPr>
            </w:pPr>
          </w:p>
        </w:tc>
        <w:tc>
          <w:tcPr>
            <w:tcW w:w="3960" w:type="dxa"/>
            <w:vAlign w:val="center"/>
          </w:tcPr>
          <w:p>
            <w:pPr>
              <w:tabs>
                <w:tab w:val="left" w:pos="480"/>
              </w:tabs>
              <w:spacing w:line="400" w:lineRule="exact"/>
              <w:jc w:val="center"/>
              <w:outlineLvl w:val="0"/>
              <w:rPr>
                <w:rFonts w:hint="eastAsia" w:ascii="仿宋" w:hAnsi="仿宋" w:eastAsia="仿宋" w:cs="仿宋"/>
                <w:sz w:val="28"/>
                <w:szCs w:val="28"/>
              </w:rPr>
            </w:pPr>
          </w:p>
        </w:tc>
        <w:tc>
          <w:tcPr>
            <w:tcW w:w="2275" w:type="dxa"/>
            <w:vAlign w:val="center"/>
          </w:tcPr>
          <w:p>
            <w:pPr>
              <w:tabs>
                <w:tab w:val="left" w:pos="480"/>
              </w:tabs>
              <w:spacing w:line="400" w:lineRule="exact"/>
              <w:jc w:val="center"/>
              <w:outlineLvl w:val="0"/>
              <w:rPr>
                <w:rFonts w:hint="eastAsia" w:ascii="仿宋" w:hAnsi="仿宋" w:eastAsia="仿宋" w:cs="仿宋"/>
                <w:sz w:val="28"/>
                <w:szCs w:val="28"/>
              </w:rPr>
            </w:pPr>
          </w:p>
        </w:tc>
        <w:tc>
          <w:tcPr>
            <w:tcW w:w="2268" w:type="dxa"/>
            <w:vAlign w:val="center"/>
          </w:tcPr>
          <w:p>
            <w:pPr>
              <w:tabs>
                <w:tab w:val="left" w:pos="480"/>
              </w:tabs>
              <w:spacing w:line="400" w:lineRule="exact"/>
              <w:jc w:val="center"/>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6" w:type="dxa"/>
            <w:vMerge w:val="continue"/>
            <w:textDirection w:val="tbRlV"/>
            <w:vAlign w:val="center"/>
          </w:tcPr>
          <w:p>
            <w:pPr>
              <w:tabs>
                <w:tab w:val="left" w:pos="480"/>
              </w:tabs>
              <w:spacing w:line="360" w:lineRule="exact"/>
              <w:ind w:right="113" w:rightChars="54"/>
              <w:jc w:val="center"/>
              <w:outlineLvl w:val="0"/>
              <w:rPr>
                <w:rFonts w:hint="eastAsia" w:ascii="仿宋" w:hAnsi="仿宋" w:eastAsia="仿宋" w:cs="仿宋"/>
                <w:sz w:val="28"/>
                <w:szCs w:val="28"/>
              </w:rPr>
            </w:pPr>
          </w:p>
        </w:tc>
        <w:tc>
          <w:tcPr>
            <w:tcW w:w="3960" w:type="dxa"/>
            <w:vAlign w:val="center"/>
          </w:tcPr>
          <w:p>
            <w:pPr>
              <w:tabs>
                <w:tab w:val="left" w:pos="480"/>
              </w:tabs>
              <w:spacing w:line="400" w:lineRule="exact"/>
              <w:jc w:val="center"/>
              <w:outlineLvl w:val="0"/>
              <w:rPr>
                <w:rFonts w:hint="eastAsia" w:ascii="仿宋" w:hAnsi="仿宋" w:eastAsia="仿宋" w:cs="仿宋"/>
                <w:sz w:val="28"/>
                <w:szCs w:val="28"/>
              </w:rPr>
            </w:pPr>
          </w:p>
        </w:tc>
        <w:tc>
          <w:tcPr>
            <w:tcW w:w="2275" w:type="dxa"/>
            <w:vAlign w:val="center"/>
          </w:tcPr>
          <w:p>
            <w:pPr>
              <w:tabs>
                <w:tab w:val="left" w:pos="480"/>
              </w:tabs>
              <w:spacing w:line="400" w:lineRule="exact"/>
              <w:jc w:val="center"/>
              <w:outlineLvl w:val="0"/>
              <w:rPr>
                <w:rFonts w:hint="eastAsia" w:ascii="仿宋" w:hAnsi="仿宋" w:eastAsia="仿宋" w:cs="仿宋"/>
                <w:sz w:val="28"/>
                <w:szCs w:val="28"/>
              </w:rPr>
            </w:pPr>
          </w:p>
        </w:tc>
        <w:tc>
          <w:tcPr>
            <w:tcW w:w="2268" w:type="dxa"/>
            <w:vAlign w:val="center"/>
          </w:tcPr>
          <w:p>
            <w:pPr>
              <w:tabs>
                <w:tab w:val="left" w:pos="480"/>
              </w:tabs>
              <w:spacing w:line="400" w:lineRule="exact"/>
              <w:jc w:val="center"/>
              <w:outlineLvl w:val="0"/>
              <w:rPr>
                <w:rFonts w:hint="eastAsia" w:ascii="仿宋" w:hAnsi="仿宋" w:eastAsia="仿宋" w:cs="仿宋"/>
                <w:sz w:val="28"/>
                <w:szCs w:val="28"/>
              </w:rPr>
            </w:pPr>
          </w:p>
        </w:tc>
      </w:tr>
    </w:tbl>
    <w:p>
      <w:pPr>
        <w:widowControl/>
        <w:jc w:val="left"/>
        <w:rPr>
          <w:rFonts w:hint="eastAsia" w:ascii="仿宋" w:hAnsi="仿宋" w:eastAsia="仿宋" w:cs="仿宋"/>
          <w:b/>
          <w:sz w:val="28"/>
          <w:szCs w:val="28"/>
        </w:rPr>
      </w:pPr>
      <w:r>
        <w:rPr>
          <w:rFonts w:hint="eastAsia" w:ascii="仿宋" w:hAnsi="仿宋" w:eastAsia="仿宋" w:cs="仿宋"/>
          <w:b/>
          <w:sz w:val="28"/>
          <w:szCs w:val="28"/>
        </w:rPr>
        <w:t>Ⅲ 师资条件</w:t>
      </w:r>
    </w:p>
    <w:p>
      <w:pPr>
        <w:spacing w:line="3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通过引进与培养相结合等多种方式，研究生师资队伍整体水平明显提高。艺术硕士导师队伍包括在职教师1</w:t>
      </w:r>
      <w:r>
        <w:rPr>
          <w:rFonts w:hint="eastAsia" w:ascii="仿宋" w:hAnsi="仿宋" w:eastAsia="仿宋" w:cs="仿宋"/>
          <w:sz w:val="28"/>
          <w:szCs w:val="28"/>
          <w:lang w:val="en-US" w:eastAsia="zh-CN"/>
        </w:rPr>
        <w:t>0</w:t>
      </w:r>
      <w:r>
        <w:rPr>
          <w:rFonts w:hint="eastAsia" w:ascii="仿宋" w:hAnsi="仿宋" w:eastAsia="仿宋" w:cs="仿宋"/>
          <w:sz w:val="28"/>
          <w:szCs w:val="28"/>
        </w:rPr>
        <w:t>人，校外兼职教师6人。该队伍是一支学科齐全、年龄结构、学缘结构、学历结构合理、擅长舞蹈与艺术综合性教学、竞赛、科研的高水平专业队伍。</w:t>
      </w:r>
    </w:p>
    <w:p>
      <w:pPr>
        <w:spacing w:line="3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导师梯队：</w:t>
      </w:r>
    </w:p>
    <w:p>
      <w:pPr>
        <w:spacing w:line="3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刘  颖，教授，国家一级演员，硕导，舞蹈教育；</w:t>
      </w:r>
    </w:p>
    <w:p>
      <w:pPr>
        <w:spacing w:line="3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董  焱，副教授，硕导，舞蹈理论；</w:t>
      </w:r>
    </w:p>
    <w:p>
      <w:pPr>
        <w:spacing w:line="3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国  辉，副教授，硕导，音乐教育；</w:t>
      </w:r>
    </w:p>
    <w:p>
      <w:pPr>
        <w:spacing w:line="3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田宏玲，副教授，硕导，音乐教育；</w:t>
      </w:r>
    </w:p>
    <w:p>
      <w:pPr>
        <w:spacing w:line="3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吴  崟，副教授，硕导，舞蹈教育；</w:t>
      </w:r>
    </w:p>
    <w:p>
      <w:pPr>
        <w:spacing w:line="3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刘雪涛，副教授，硕导，舞蹈教育；</w:t>
      </w:r>
    </w:p>
    <w:p>
      <w:pPr>
        <w:spacing w:line="3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崔  荔，副教授，硕导，艺术体育；</w:t>
      </w:r>
    </w:p>
    <w:p>
      <w:pPr>
        <w:spacing w:line="3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朱  虹，副教授，硕导，音乐教育；</w:t>
      </w:r>
    </w:p>
    <w:p>
      <w:pPr>
        <w:spacing w:line="3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孟昭鑫，教授， 硕导，体育舞蹈；</w:t>
      </w:r>
    </w:p>
    <w:p>
      <w:pPr>
        <w:spacing w:line="3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徐承刚，</w:t>
      </w:r>
      <w:r>
        <w:rPr>
          <w:rFonts w:hint="eastAsia" w:ascii="仿宋" w:hAnsi="仿宋" w:eastAsia="仿宋" w:cs="仿宋"/>
          <w:sz w:val="28"/>
          <w:szCs w:val="28"/>
          <w:lang w:val="en-US" w:eastAsia="zh-CN"/>
        </w:rPr>
        <w:t>研究员</w:t>
      </w:r>
      <w:r>
        <w:rPr>
          <w:rFonts w:hint="eastAsia" w:ascii="仿宋" w:hAnsi="仿宋" w:eastAsia="仿宋" w:cs="仿宋"/>
          <w:sz w:val="28"/>
          <w:szCs w:val="28"/>
        </w:rPr>
        <w:t>， 硕导，艺术教育。</w:t>
      </w:r>
    </w:p>
    <w:p>
      <w:pPr>
        <w:spacing w:line="3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外聘导师团队:</w:t>
      </w:r>
    </w:p>
    <w:p>
      <w:pPr>
        <w:spacing w:line="3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曹宏凯，教授，硕导，作曲理论、音乐学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天津艺术职业学院副院长</w:t>
      </w:r>
      <w:r>
        <w:rPr>
          <w:rFonts w:hint="eastAsia" w:ascii="仿宋" w:hAnsi="仿宋" w:eastAsia="仿宋" w:cs="仿宋"/>
          <w:sz w:val="28"/>
          <w:szCs w:val="28"/>
        </w:rPr>
        <w:t>；</w:t>
      </w:r>
    </w:p>
    <w:p>
      <w:pPr>
        <w:spacing w:line="3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辛恩利，教授，硕导，音乐教育</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天津音乐学院</w:t>
      </w:r>
      <w:r>
        <w:rPr>
          <w:rFonts w:hint="eastAsia" w:ascii="仿宋" w:hAnsi="仿宋" w:eastAsia="仿宋" w:cs="仿宋"/>
          <w:sz w:val="28"/>
          <w:szCs w:val="28"/>
        </w:rPr>
        <w:t>；</w:t>
      </w:r>
    </w:p>
    <w:p>
      <w:pPr>
        <w:spacing w:line="3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吕晓亮，教授，硕导，钢琴演奏</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天津音乐学院</w:t>
      </w:r>
      <w:r>
        <w:rPr>
          <w:rFonts w:hint="eastAsia" w:ascii="仿宋" w:hAnsi="仿宋" w:eastAsia="仿宋" w:cs="仿宋"/>
          <w:sz w:val="28"/>
          <w:szCs w:val="28"/>
        </w:rPr>
        <w:t>；</w:t>
      </w:r>
    </w:p>
    <w:p>
      <w:pPr>
        <w:spacing w:line="3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许沙，研究员，音乐教学与训练，天津音乐家协会秘书长。</w:t>
      </w:r>
    </w:p>
    <w:p>
      <w:pPr>
        <w:spacing w:line="3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张红霞，教授，硕导，舞蹈教育与训练，滨州学院体育学院副院长。</w:t>
      </w:r>
    </w:p>
    <w:p>
      <w:pPr>
        <w:spacing w:line="3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王赞，副教授，硕导，舞蹈教育与训练，沈阳体育学院。</w:t>
      </w:r>
    </w:p>
    <w:p>
      <w:pPr>
        <w:spacing w:line="3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导师组</w:t>
      </w:r>
      <w:r>
        <w:rPr>
          <w:rFonts w:hint="eastAsia" w:ascii="仿宋" w:hAnsi="仿宋" w:eastAsia="仿宋" w:cs="仿宋"/>
          <w:sz w:val="28"/>
          <w:szCs w:val="28"/>
          <w:lang w:val="en-US" w:eastAsia="zh-CN"/>
        </w:rPr>
        <w:t>骨</w:t>
      </w:r>
      <w:r>
        <w:rPr>
          <w:rFonts w:hint="eastAsia" w:ascii="仿宋" w:hAnsi="仿宋" w:eastAsia="仿宋" w:cs="仿宋"/>
          <w:sz w:val="28"/>
          <w:szCs w:val="28"/>
        </w:rPr>
        <w:t>干成员均具有丰富的高水平专业教学、训练、竞赛经验和相关学科知识背景，展现了学术带头人和导师组教师在该研究领域深厚的学术功底。</w:t>
      </w:r>
    </w:p>
    <w:p>
      <w:pPr>
        <w:spacing w:line="360" w:lineRule="exact"/>
        <w:ind w:firstLine="560" w:firstLineChars="200"/>
        <w:rPr>
          <w:rFonts w:hint="eastAsia" w:ascii="仿宋" w:hAnsi="仿宋" w:eastAsia="仿宋" w:cs="仿宋"/>
          <w:sz w:val="28"/>
          <w:szCs w:val="28"/>
          <w:lang w:val="en-US" w:eastAsia="zh-CN"/>
        </w:rPr>
      </w:pPr>
    </w:p>
    <w:p>
      <w:pPr>
        <w:spacing w:line="360" w:lineRule="exact"/>
        <w:ind w:firstLine="560" w:firstLineChars="200"/>
        <w:rPr>
          <w:rFonts w:hint="eastAsia" w:ascii="仿宋" w:hAnsi="仿宋" w:eastAsia="仿宋" w:cs="仿宋"/>
          <w:sz w:val="28"/>
          <w:szCs w:val="28"/>
          <w:lang w:val="en-US" w:eastAsia="zh-CN"/>
        </w:rPr>
      </w:pPr>
    </w:p>
    <w:p>
      <w:pPr>
        <w:spacing w:line="360" w:lineRule="exact"/>
        <w:ind w:firstLine="560" w:firstLineChars="200"/>
        <w:rPr>
          <w:rFonts w:hint="default" w:ascii="仿宋" w:hAnsi="仿宋" w:eastAsia="仿宋" w:cs="仿宋"/>
          <w:sz w:val="28"/>
          <w:szCs w:val="28"/>
          <w:lang w:val="en-US" w:eastAsia="zh-CN"/>
        </w:rPr>
      </w:pPr>
    </w:p>
    <w:p>
      <w:pPr>
        <w:spacing w:line="360" w:lineRule="exact"/>
        <w:ind w:firstLine="560" w:firstLineChars="200"/>
        <w:rPr>
          <w:rFonts w:hint="eastAsia" w:ascii="仿宋" w:hAnsi="仿宋" w:eastAsia="仿宋" w:cs="仿宋"/>
          <w:sz w:val="28"/>
          <w:szCs w:val="28"/>
        </w:rPr>
      </w:pPr>
    </w:p>
    <w:p>
      <w:pPr>
        <w:spacing w:line="360" w:lineRule="exact"/>
        <w:ind w:firstLine="560" w:firstLineChars="200"/>
        <w:rPr>
          <w:rFonts w:hint="eastAsia" w:ascii="仿宋" w:hAnsi="仿宋" w:eastAsia="仿宋" w:cs="仿宋"/>
          <w:sz w:val="28"/>
          <w:szCs w:val="28"/>
        </w:rPr>
        <w:sectPr>
          <w:footerReference r:id="rId5" w:type="default"/>
          <w:pgSz w:w="11906" w:h="16838"/>
          <w:pgMar w:top="1440" w:right="1418" w:bottom="1440" w:left="1418" w:header="851" w:footer="992" w:gutter="0"/>
          <w:pgNumType w:start="1"/>
          <w:cols w:space="720" w:num="1"/>
          <w:docGrid w:type="lines" w:linePitch="312" w:charSpace="0"/>
        </w:sectPr>
      </w:pPr>
    </w:p>
    <w:p>
      <w:pPr>
        <w:spacing w:line="360" w:lineRule="exact"/>
        <w:ind w:firstLine="560" w:firstLineChars="200"/>
        <w:rPr>
          <w:rFonts w:hint="eastAsia" w:ascii="仿宋" w:hAnsi="仿宋" w:eastAsia="仿宋" w:cs="仿宋"/>
          <w:sz w:val="28"/>
          <w:szCs w:val="28"/>
        </w:rPr>
      </w:pPr>
    </w:p>
    <w:p>
      <w:pPr>
        <w:spacing w:line="480" w:lineRule="auto"/>
        <w:jc w:val="left"/>
        <w:rPr>
          <w:rFonts w:hint="eastAsia" w:ascii="仿宋" w:hAnsi="仿宋" w:eastAsia="仿宋" w:cs="仿宋"/>
          <w:b/>
          <w:sz w:val="28"/>
          <w:szCs w:val="28"/>
        </w:rPr>
      </w:pPr>
      <w:r>
        <w:rPr>
          <w:rFonts w:hint="eastAsia" w:ascii="仿宋" w:hAnsi="仿宋" w:eastAsia="仿宋" w:cs="仿宋"/>
          <w:b/>
          <w:sz w:val="28"/>
          <w:szCs w:val="28"/>
        </w:rPr>
        <w:t>主要专职教师简况</w:t>
      </w:r>
    </w:p>
    <w:tbl>
      <w:tblPr>
        <w:tblStyle w:val="7"/>
        <w:tblW w:w="13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143"/>
        <w:gridCol w:w="650"/>
        <w:gridCol w:w="1100"/>
        <w:gridCol w:w="1085"/>
        <w:gridCol w:w="1701"/>
        <w:gridCol w:w="1714"/>
        <w:gridCol w:w="1209"/>
        <w:gridCol w:w="3347"/>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825" w:type="dxa"/>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序号</w:t>
            </w:r>
          </w:p>
        </w:tc>
        <w:tc>
          <w:tcPr>
            <w:tcW w:w="1143" w:type="dxa"/>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教师姓名</w:t>
            </w:r>
          </w:p>
        </w:tc>
        <w:tc>
          <w:tcPr>
            <w:tcW w:w="650" w:type="dxa"/>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年龄</w:t>
            </w:r>
          </w:p>
        </w:tc>
        <w:tc>
          <w:tcPr>
            <w:tcW w:w="1100" w:type="dxa"/>
            <w:vAlign w:val="center"/>
          </w:tcPr>
          <w:p>
            <w:pPr>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专业技术</w:t>
            </w:r>
          </w:p>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kern w:val="0"/>
                <w:sz w:val="28"/>
                <w:szCs w:val="28"/>
              </w:rPr>
              <w:t>职务</w:t>
            </w:r>
          </w:p>
        </w:tc>
        <w:tc>
          <w:tcPr>
            <w:tcW w:w="1085" w:type="dxa"/>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最高学位</w:t>
            </w:r>
          </w:p>
        </w:tc>
        <w:tc>
          <w:tcPr>
            <w:tcW w:w="1701" w:type="dxa"/>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最高学位</w:t>
            </w:r>
          </w:p>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获得单位</w:t>
            </w:r>
          </w:p>
        </w:tc>
        <w:tc>
          <w:tcPr>
            <w:tcW w:w="1714" w:type="dxa"/>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学术头衔</w:t>
            </w:r>
          </w:p>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（限填三项）</w:t>
            </w:r>
          </w:p>
        </w:tc>
        <w:tc>
          <w:tcPr>
            <w:tcW w:w="1209" w:type="dxa"/>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是否具有</w:t>
            </w:r>
          </w:p>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海外经历</w:t>
            </w:r>
          </w:p>
        </w:tc>
        <w:tc>
          <w:tcPr>
            <w:tcW w:w="3347" w:type="dxa"/>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学术兼职及简介</w:t>
            </w:r>
          </w:p>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（限填100字）</w:t>
            </w:r>
          </w:p>
        </w:tc>
        <w:tc>
          <w:tcPr>
            <w:tcW w:w="865" w:type="dxa"/>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5"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1143"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刘颖</w:t>
            </w:r>
          </w:p>
        </w:tc>
        <w:tc>
          <w:tcPr>
            <w:tcW w:w="650"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62</w:t>
            </w:r>
          </w:p>
        </w:tc>
        <w:tc>
          <w:tcPr>
            <w:tcW w:w="1100"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教授</w:t>
            </w:r>
          </w:p>
        </w:tc>
        <w:tc>
          <w:tcPr>
            <w:tcW w:w="1085"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本科</w:t>
            </w:r>
          </w:p>
        </w:tc>
        <w:tc>
          <w:tcPr>
            <w:tcW w:w="1701"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南开大学</w:t>
            </w:r>
          </w:p>
        </w:tc>
        <w:tc>
          <w:tcPr>
            <w:tcW w:w="1714"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中国舞蹈家协会理事、天津市舞蹈家协会主席</w:t>
            </w:r>
          </w:p>
        </w:tc>
        <w:tc>
          <w:tcPr>
            <w:tcW w:w="1209"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无</w:t>
            </w:r>
          </w:p>
        </w:tc>
        <w:tc>
          <w:tcPr>
            <w:tcW w:w="3347"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中国舞蹈家协会理事、天津市文联副主席、天津市舞蹈家协会主席</w:t>
            </w:r>
          </w:p>
        </w:tc>
        <w:tc>
          <w:tcPr>
            <w:tcW w:w="865" w:type="dxa"/>
            <w:shd w:val="clear" w:color="auto" w:fill="FFFFFF"/>
            <w:vAlign w:val="center"/>
          </w:tcPr>
          <w:p>
            <w:pPr>
              <w:widowControl/>
              <w:jc w:val="center"/>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5"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1143"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sz w:val="28"/>
                <w:szCs w:val="28"/>
              </w:rPr>
              <w:t>徐承刚</w:t>
            </w:r>
          </w:p>
        </w:tc>
        <w:tc>
          <w:tcPr>
            <w:tcW w:w="650"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52</w:t>
            </w:r>
          </w:p>
        </w:tc>
        <w:tc>
          <w:tcPr>
            <w:tcW w:w="1100"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教授</w:t>
            </w:r>
          </w:p>
        </w:tc>
        <w:tc>
          <w:tcPr>
            <w:tcW w:w="1085"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硕士</w:t>
            </w:r>
          </w:p>
        </w:tc>
        <w:tc>
          <w:tcPr>
            <w:tcW w:w="1701"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南开大学</w:t>
            </w:r>
          </w:p>
        </w:tc>
        <w:tc>
          <w:tcPr>
            <w:tcW w:w="1714" w:type="dxa"/>
            <w:shd w:val="clear" w:color="auto" w:fill="FFFFFF"/>
            <w:vAlign w:val="center"/>
          </w:tcPr>
          <w:p>
            <w:pPr>
              <w:widowControl/>
              <w:jc w:val="center"/>
              <w:rPr>
                <w:rFonts w:hint="eastAsia" w:ascii="仿宋" w:hAnsi="仿宋" w:eastAsia="仿宋" w:cs="仿宋"/>
                <w:color w:val="000000"/>
                <w:kern w:val="0"/>
                <w:sz w:val="28"/>
                <w:szCs w:val="28"/>
              </w:rPr>
            </w:pPr>
          </w:p>
        </w:tc>
        <w:tc>
          <w:tcPr>
            <w:tcW w:w="1209"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是</w:t>
            </w:r>
          </w:p>
        </w:tc>
        <w:tc>
          <w:tcPr>
            <w:tcW w:w="3347" w:type="dxa"/>
            <w:shd w:val="clear" w:color="auto" w:fill="FFFFFF"/>
            <w:vAlign w:val="center"/>
          </w:tcPr>
          <w:p>
            <w:pPr>
              <w:widowControl/>
              <w:jc w:val="center"/>
              <w:rPr>
                <w:rFonts w:hint="eastAsia" w:ascii="仿宋" w:hAnsi="仿宋" w:eastAsia="仿宋" w:cs="仿宋"/>
                <w:color w:val="000000"/>
                <w:kern w:val="0"/>
                <w:sz w:val="28"/>
                <w:szCs w:val="28"/>
              </w:rPr>
            </w:pPr>
          </w:p>
        </w:tc>
        <w:tc>
          <w:tcPr>
            <w:tcW w:w="865" w:type="dxa"/>
            <w:shd w:val="clear" w:color="auto" w:fill="FFFFFF"/>
            <w:vAlign w:val="center"/>
          </w:tcPr>
          <w:p>
            <w:pPr>
              <w:widowControl/>
              <w:jc w:val="center"/>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5"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1143"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sz w:val="28"/>
                <w:szCs w:val="28"/>
              </w:rPr>
              <w:t>孟昭鑫</w:t>
            </w:r>
          </w:p>
        </w:tc>
        <w:tc>
          <w:tcPr>
            <w:tcW w:w="650"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65</w:t>
            </w:r>
          </w:p>
        </w:tc>
        <w:tc>
          <w:tcPr>
            <w:tcW w:w="1100"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教授</w:t>
            </w:r>
          </w:p>
        </w:tc>
        <w:tc>
          <w:tcPr>
            <w:tcW w:w="1085"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本科</w:t>
            </w:r>
          </w:p>
        </w:tc>
        <w:tc>
          <w:tcPr>
            <w:tcW w:w="1701"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天津体育学院</w:t>
            </w:r>
          </w:p>
        </w:tc>
        <w:tc>
          <w:tcPr>
            <w:tcW w:w="1714" w:type="dxa"/>
            <w:shd w:val="clear" w:color="auto" w:fill="FFFFFF"/>
            <w:vAlign w:val="center"/>
          </w:tcPr>
          <w:p>
            <w:pPr>
              <w:widowControl/>
              <w:jc w:val="center"/>
              <w:rPr>
                <w:rFonts w:hint="eastAsia" w:ascii="仿宋" w:hAnsi="仿宋" w:eastAsia="仿宋" w:cs="仿宋"/>
                <w:color w:val="000000"/>
                <w:kern w:val="0"/>
                <w:sz w:val="28"/>
                <w:szCs w:val="28"/>
              </w:rPr>
            </w:pPr>
          </w:p>
        </w:tc>
        <w:tc>
          <w:tcPr>
            <w:tcW w:w="1209"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无</w:t>
            </w:r>
          </w:p>
        </w:tc>
        <w:tc>
          <w:tcPr>
            <w:tcW w:w="3347" w:type="dxa"/>
            <w:shd w:val="clear" w:color="auto" w:fill="FFFFFF"/>
            <w:vAlign w:val="center"/>
          </w:tcPr>
          <w:p>
            <w:pPr>
              <w:widowControl/>
              <w:jc w:val="center"/>
              <w:rPr>
                <w:rFonts w:hint="eastAsia" w:ascii="仿宋" w:hAnsi="仿宋" w:eastAsia="仿宋" w:cs="仿宋"/>
                <w:color w:val="000000"/>
                <w:kern w:val="0"/>
                <w:sz w:val="28"/>
                <w:szCs w:val="28"/>
              </w:rPr>
            </w:pPr>
          </w:p>
        </w:tc>
        <w:tc>
          <w:tcPr>
            <w:tcW w:w="865" w:type="dxa"/>
            <w:shd w:val="clear" w:color="auto" w:fill="FFFFFF"/>
            <w:vAlign w:val="center"/>
          </w:tcPr>
          <w:p>
            <w:pPr>
              <w:widowControl/>
              <w:jc w:val="center"/>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5"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w:t>
            </w:r>
          </w:p>
        </w:tc>
        <w:tc>
          <w:tcPr>
            <w:tcW w:w="1143"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董焱</w:t>
            </w:r>
          </w:p>
        </w:tc>
        <w:tc>
          <w:tcPr>
            <w:tcW w:w="650"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40</w:t>
            </w:r>
          </w:p>
        </w:tc>
        <w:tc>
          <w:tcPr>
            <w:tcW w:w="1100"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副教授</w:t>
            </w:r>
          </w:p>
        </w:tc>
        <w:tc>
          <w:tcPr>
            <w:tcW w:w="1085"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硕士</w:t>
            </w:r>
          </w:p>
        </w:tc>
        <w:tc>
          <w:tcPr>
            <w:tcW w:w="1701"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北京大学</w:t>
            </w:r>
          </w:p>
        </w:tc>
        <w:tc>
          <w:tcPr>
            <w:tcW w:w="1714"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中国艺术医学协会理事</w:t>
            </w:r>
          </w:p>
        </w:tc>
        <w:tc>
          <w:tcPr>
            <w:tcW w:w="1209"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是</w:t>
            </w:r>
          </w:p>
        </w:tc>
        <w:tc>
          <w:tcPr>
            <w:tcW w:w="3347"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中国艺术医学会理事</w:t>
            </w:r>
          </w:p>
        </w:tc>
        <w:tc>
          <w:tcPr>
            <w:tcW w:w="865" w:type="dxa"/>
            <w:shd w:val="clear" w:color="auto" w:fill="FFFFFF"/>
            <w:vAlign w:val="center"/>
          </w:tcPr>
          <w:p>
            <w:pPr>
              <w:widowControl/>
              <w:jc w:val="center"/>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5"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1143"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国辉</w:t>
            </w:r>
          </w:p>
        </w:tc>
        <w:tc>
          <w:tcPr>
            <w:tcW w:w="650"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39</w:t>
            </w:r>
          </w:p>
        </w:tc>
        <w:tc>
          <w:tcPr>
            <w:tcW w:w="1100"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副教授</w:t>
            </w:r>
          </w:p>
        </w:tc>
        <w:tc>
          <w:tcPr>
            <w:tcW w:w="1085"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硕士</w:t>
            </w:r>
          </w:p>
        </w:tc>
        <w:tc>
          <w:tcPr>
            <w:tcW w:w="1701"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韩国大佛大学</w:t>
            </w:r>
          </w:p>
        </w:tc>
        <w:tc>
          <w:tcPr>
            <w:tcW w:w="1714"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中国艺术医学协会会员</w:t>
            </w:r>
          </w:p>
        </w:tc>
        <w:tc>
          <w:tcPr>
            <w:tcW w:w="1209"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是</w:t>
            </w:r>
          </w:p>
        </w:tc>
        <w:tc>
          <w:tcPr>
            <w:tcW w:w="3347"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中国艺术医学协会会员</w:t>
            </w:r>
          </w:p>
        </w:tc>
        <w:tc>
          <w:tcPr>
            <w:tcW w:w="865" w:type="dxa"/>
            <w:shd w:val="clear" w:color="auto" w:fill="FFFFFF"/>
            <w:vAlign w:val="center"/>
          </w:tcPr>
          <w:p>
            <w:pPr>
              <w:widowControl/>
              <w:jc w:val="center"/>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25"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w:t>
            </w:r>
          </w:p>
        </w:tc>
        <w:tc>
          <w:tcPr>
            <w:tcW w:w="1143"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朱虹</w:t>
            </w:r>
          </w:p>
        </w:tc>
        <w:tc>
          <w:tcPr>
            <w:tcW w:w="650"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51</w:t>
            </w:r>
          </w:p>
        </w:tc>
        <w:tc>
          <w:tcPr>
            <w:tcW w:w="1100"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副教授</w:t>
            </w:r>
          </w:p>
        </w:tc>
        <w:tc>
          <w:tcPr>
            <w:tcW w:w="1085"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本科</w:t>
            </w:r>
          </w:p>
        </w:tc>
        <w:tc>
          <w:tcPr>
            <w:tcW w:w="1701"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天津音乐学院</w:t>
            </w:r>
          </w:p>
        </w:tc>
        <w:tc>
          <w:tcPr>
            <w:tcW w:w="1714" w:type="dxa"/>
            <w:shd w:val="clear" w:color="auto" w:fill="FFFFFF"/>
            <w:vAlign w:val="center"/>
          </w:tcPr>
          <w:p>
            <w:pPr>
              <w:widowControl/>
              <w:jc w:val="center"/>
              <w:rPr>
                <w:rFonts w:hint="eastAsia" w:ascii="仿宋" w:hAnsi="仿宋" w:eastAsia="仿宋" w:cs="仿宋"/>
                <w:color w:val="000000"/>
                <w:kern w:val="0"/>
                <w:sz w:val="28"/>
                <w:szCs w:val="28"/>
              </w:rPr>
            </w:pPr>
          </w:p>
        </w:tc>
        <w:tc>
          <w:tcPr>
            <w:tcW w:w="1209"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无</w:t>
            </w:r>
          </w:p>
        </w:tc>
        <w:tc>
          <w:tcPr>
            <w:tcW w:w="3347" w:type="dxa"/>
            <w:shd w:val="clear" w:color="auto" w:fill="FFFFFF"/>
            <w:vAlign w:val="center"/>
          </w:tcPr>
          <w:p>
            <w:pPr>
              <w:widowControl/>
              <w:jc w:val="center"/>
              <w:rPr>
                <w:rFonts w:hint="eastAsia" w:ascii="仿宋" w:hAnsi="仿宋" w:eastAsia="仿宋" w:cs="仿宋"/>
                <w:color w:val="000000"/>
                <w:kern w:val="0"/>
                <w:sz w:val="28"/>
                <w:szCs w:val="28"/>
              </w:rPr>
            </w:pPr>
          </w:p>
        </w:tc>
        <w:tc>
          <w:tcPr>
            <w:tcW w:w="865" w:type="dxa"/>
            <w:shd w:val="clear" w:color="auto" w:fill="FFFFFF"/>
            <w:vAlign w:val="center"/>
          </w:tcPr>
          <w:p>
            <w:pPr>
              <w:widowControl/>
              <w:jc w:val="center"/>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5"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7</w:t>
            </w:r>
          </w:p>
        </w:tc>
        <w:tc>
          <w:tcPr>
            <w:tcW w:w="1143"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田宏玲</w:t>
            </w:r>
          </w:p>
        </w:tc>
        <w:tc>
          <w:tcPr>
            <w:tcW w:w="650"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51</w:t>
            </w:r>
          </w:p>
        </w:tc>
        <w:tc>
          <w:tcPr>
            <w:tcW w:w="1100"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副教授</w:t>
            </w:r>
          </w:p>
        </w:tc>
        <w:tc>
          <w:tcPr>
            <w:tcW w:w="1085"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学士</w:t>
            </w:r>
          </w:p>
        </w:tc>
        <w:tc>
          <w:tcPr>
            <w:tcW w:w="1701"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天津音乐学院</w:t>
            </w:r>
          </w:p>
        </w:tc>
        <w:tc>
          <w:tcPr>
            <w:tcW w:w="1714"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中国艺术医学协会会员</w:t>
            </w:r>
          </w:p>
        </w:tc>
        <w:tc>
          <w:tcPr>
            <w:tcW w:w="1209"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是</w:t>
            </w:r>
          </w:p>
        </w:tc>
        <w:tc>
          <w:tcPr>
            <w:tcW w:w="3347"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中国艺术医学协会会员</w:t>
            </w:r>
          </w:p>
        </w:tc>
        <w:tc>
          <w:tcPr>
            <w:tcW w:w="865" w:type="dxa"/>
            <w:shd w:val="clear" w:color="auto" w:fill="FFFFFF"/>
            <w:vAlign w:val="center"/>
          </w:tcPr>
          <w:p>
            <w:pPr>
              <w:widowControl/>
              <w:jc w:val="center"/>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825"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w:t>
            </w:r>
          </w:p>
        </w:tc>
        <w:tc>
          <w:tcPr>
            <w:tcW w:w="1143"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刘雪涛</w:t>
            </w:r>
          </w:p>
        </w:tc>
        <w:tc>
          <w:tcPr>
            <w:tcW w:w="650"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40</w:t>
            </w:r>
          </w:p>
        </w:tc>
        <w:tc>
          <w:tcPr>
            <w:tcW w:w="1100"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副教授</w:t>
            </w:r>
          </w:p>
        </w:tc>
        <w:tc>
          <w:tcPr>
            <w:tcW w:w="1085"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硕士</w:t>
            </w:r>
          </w:p>
        </w:tc>
        <w:tc>
          <w:tcPr>
            <w:tcW w:w="1701"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中国艺术研究院</w:t>
            </w:r>
          </w:p>
        </w:tc>
        <w:tc>
          <w:tcPr>
            <w:tcW w:w="1714"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天津市舞蹈家协会理事</w:t>
            </w:r>
          </w:p>
        </w:tc>
        <w:tc>
          <w:tcPr>
            <w:tcW w:w="1209"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无</w:t>
            </w:r>
          </w:p>
        </w:tc>
        <w:tc>
          <w:tcPr>
            <w:tcW w:w="3347"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天津市舞蹈家协会理事</w:t>
            </w:r>
          </w:p>
        </w:tc>
        <w:tc>
          <w:tcPr>
            <w:tcW w:w="865" w:type="dxa"/>
            <w:shd w:val="clear" w:color="auto" w:fill="FFFFFF"/>
            <w:vAlign w:val="center"/>
          </w:tcPr>
          <w:p>
            <w:pPr>
              <w:widowControl/>
              <w:jc w:val="center"/>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5"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9</w:t>
            </w:r>
          </w:p>
        </w:tc>
        <w:tc>
          <w:tcPr>
            <w:tcW w:w="1143"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吴崟</w:t>
            </w:r>
          </w:p>
        </w:tc>
        <w:tc>
          <w:tcPr>
            <w:tcW w:w="650"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39</w:t>
            </w:r>
          </w:p>
        </w:tc>
        <w:tc>
          <w:tcPr>
            <w:tcW w:w="1100"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副教授</w:t>
            </w:r>
          </w:p>
        </w:tc>
        <w:tc>
          <w:tcPr>
            <w:tcW w:w="1085"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硕士</w:t>
            </w:r>
          </w:p>
        </w:tc>
        <w:tc>
          <w:tcPr>
            <w:tcW w:w="1701"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中国艺术研究院</w:t>
            </w:r>
          </w:p>
        </w:tc>
        <w:tc>
          <w:tcPr>
            <w:tcW w:w="1714"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天津市舞蹈家协会理事</w:t>
            </w:r>
          </w:p>
        </w:tc>
        <w:tc>
          <w:tcPr>
            <w:tcW w:w="1209"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是</w:t>
            </w:r>
          </w:p>
        </w:tc>
        <w:tc>
          <w:tcPr>
            <w:tcW w:w="3347"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天津市舞蹈家协会理事</w:t>
            </w:r>
          </w:p>
        </w:tc>
        <w:tc>
          <w:tcPr>
            <w:tcW w:w="865" w:type="dxa"/>
            <w:shd w:val="clear" w:color="auto" w:fill="FFFFFF"/>
            <w:vAlign w:val="center"/>
          </w:tcPr>
          <w:p>
            <w:pPr>
              <w:widowControl/>
              <w:jc w:val="center"/>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5"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10</w:t>
            </w:r>
          </w:p>
        </w:tc>
        <w:tc>
          <w:tcPr>
            <w:tcW w:w="1143"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sz w:val="28"/>
                <w:szCs w:val="28"/>
              </w:rPr>
              <w:t>崔荔</w:t>
            </w:r>
          </w:p>
        </w:tc>
        <w:tc>
          <w:tcPr>
            <w:tcW w:w="650"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36</w:t>
            </w:r>
          </w:p>
        </w:tc>
        <w:tc>
          <w:tcPr>
            <w:tcW w:w="1100"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副教授</w:t>
            </w:r>
          </w:p>
        </w:tc>
        <w:tc>
          <w:tcPr>
            <w:tcW w:w="1085"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硕士</w:t>
            </w:r>
          </w:p>
        </w:tc>
        <w:tc>
          <w:tcPr>
            <w:tcW w:w="1701"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天津体育学院</w:t>
            </w:r>
          </w:p>
        </w:tc>
        <w:tc>
          <w:tcPr>
            <w:tcW w:w="1714" w:type="dxa"/>
            <w:shd w:val="clear" w:color="auto" w:fill="FFFFFF"/>
            <w:vAlign w:val="center"/>
          </w:tcPr>
          <w:p>
            <w:pPr>
              <w:widowControl/>
              <w:jc w:val="center"/>
              <w:rPr>
                <w:rFonts w:hint="eastAsia" w:ascii="仿宋" w:hAnsi="仿宋" w:eastAsia="仿宋" w:cs="仿宋"/>
                <w:color w:val="000000"/>
                <w:kern w:val="0"/>
                <w:sz w:val="28"/>
                <w:szCs w:val="28"/>
              </w:rPr>
            </w:pPr>
          </w:p>
        </w:tc>
        <w:tc>
          <w:tcPr>
            <w:tcW w:w="1209" w:type="dxa"/>
            <w:shd w:val="clear" w:color="auto" w:fill="FFFFFF"/>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是</w:t>
            </w:r>
          </w:p>
        </w:tc>
        <w:tc>
          <w:tcPr>
            <w:tcW w:w="3347" w:type="dxa"/>
            <w:shd w:val="clear" w:color="auto" w:fill="FFFFFF"/>
            <w:vAlign w:val="center"/>
          </w:tcPr>
          <w:p>
            <w:pPr>
              <w:widowControl/>
              <w:jc w:val="center"/>
              <w:rPr>
                <w:rFonts w:hint="eastAsia" w:ascii="仿宋" w:hAnsi="仿宋" w:eastAsia="仿宋" w:cs="仿宋"/>
                <w:color w:val="000000"/>
                <w:kern w:val="0"/>
                <w:sz w:val="28"/>
                <w:szCs w:val="28"/>
              </w:rPr>
            </w:pPr>
          </w:p>
        </w:tc>
        <w:tc>
          <w:tcPr>
            <w:tcW w:w="865" w:type="dxa"/>
            <w:shd w:val="clear" w:color="auto" w:fill="FFFFFF"/>
            <w:vAlign w:val="center"/>
          </w:tcPr>
          <w:p>
            <w:pPr>
              <w:widowControl/>
              <w:jc w:val="center"/>
              <w:rPr>
                <w:rFonts w:hint="eastAsia" w:ascii="仿宋" w:hAnsi="仿宋" w:eastAsia="仿宋" w:cs="仿宋"/>
                <w:color w:val="000000"/>
                <w:kern w:val="0"/>
                <w:sz w:val="28"/>
                <w:szCs w:val="28"/>
              </w:rPr>
            </w:pPr>
          </w:p>
        </w:tc>
      </w:tr>
    </w:tbl>
    <w:p>
      <w:pPr>
        <w:tabs>
          <w:tab w:val="left" w:pos="480"/>
        </w:tabs>
        <w:outlineLvl w:val="0"/>
        <w:rPr>
          <w:rFonts w:hint="eastAsia" w:ascii="仿宋" w:hAnsi="仿宋" w:eastAsia="仿宋" w:cs="仿宋"/>
          <w:sz w:val="28"/>
          <w:szCs w:val="28"/>
        </w:rPr>
        <w:sectPr>
          <w:footerReference r:id="rId6" w:type="default"/>
          <w:pgSz w:w="16838" w:h="11906" w:orient="landscape"/>
          <w:pgMar w:top="1418" w:right="1440" w:bottom="1418" w:left="1440" w:header="851" w:footer="992" w:gutter="0"/>
          <w:cols w:space="720" w:num="1"/>
          <w:docGrid w:type="linesAndChars" w:linePitch="312" w:charSpace="0"/>
        </w:sectPr>
      </w:pPr>
    </w:p>
    <w:p>
      <w:pPr>
        <w:spacing w:line="46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Ⅳ 近五年有影响的专业实践活动与成果（</w:t>
      </w:r>
      <w:r>
        <w:rPr>
          <w:rFonts w:hint="eastAsia" w:ascii="仿宋" w:hAnsi="仿宋" w:eastAsia="仿宋" w:cs="仿宋"/>
          <w:color w:val="auto"/>
          <w:sz w:val="28"/>
          <w:szCs w:val="28"/>
        </w:rPr>
        <w:t>限填20项）</w:t>
      </w:r>
    </w:p>
    <w:p>
      <w:pPr>
        <w:spacing w:beforeLines="50" w:afterLines="50"/>
        <w:jc w:val="center"/>
        <w:rPr>
          <w:rFonts w:hint="eastAsia" w:ascii="仿宋" w:hAnsi="仿宋" w:eastAsia="仿宋" w:cs="仿宋"/>
          <w:b/>
          <w:bCs/>
          <w:color w:val="000000"/>
          <w:sz w:val="28"/>
          <w:szCs w:val="28"/>
        </w:rPr>
      </w:pPr>
    </w:p>
    <w:p>
      <w:pPr>
        <w:spacing w:beforeLines="50" w:afterLines="50"/>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附表1．近五年研究生导师承担的代表性科研项目清单（限30项）</w:t>
      </w:r>
    </w:p>
    <w:tbl>
      <w:tblPr>
        <w:tblStyle w:val="7"/>
        <w:tblW w:w="10002" w:type="dxa"/>
        <w:jc w:val="center"/>
        <w:tblInd w:w="0" w:type="dxa"/>
        <w:tblLayout w:type="fixed"/>
        <w:tblCellMar>
          <w:top w:w="0" w:type="dxa"/>
          <w:left w:w="28" w:type="dxa"/>
          <w:bottom w:w="0" w:type="dxa"/>
          <w:right w:w="28" w:type="dxa"/>
        </w:tblCellMar>
      </w:tblPr>
      <w:tblGrid>
        <w:gridCol w:w="4473"/>
        <w:gridCol w:w="1438"/>
        <w:gridCol w:w="1701"/>
        <w:gridCol w:w="1418"/>
        <w:gridCol w:w="972"/>
      </w:tblGrid>
      <w:tr>
        <w:tblPrEx>
          <w:tblLayout w:type="fixed"/>
          <w:tblCellMar>
            <w:top w:w="0" w:type="dxa"/>
            <w:left w:w="28" w:type="dxa"/>
            <w:bottom w:w="0" w:type="dxa"/>
            <w:right w:w="28" w:type="dxa"/>
          </w:tblCellMar>
        </w:tblPrEx>
        <w:trPr>
          <w:cantSplit/>
          <w:trHeight w:val="576" w:hRule="atLeast"/>
          <w:jc w:val="center"/>
        </w:trPr>
        <w:tc>
          <w:tcPr>
            <w:tcW w:w="4473" w:type="dxa"/>
            <w:tcBorders>
              <w:top w:val="single" w:color="auto" w:sz="6" w:space="0"/>
              <w:left w:val="single" w:color="auto" w:sz="4" w:space="0"/>
              <w:bottom w:val="single" w:color="auto" w:sz="6" w:space="0"/>
              <w:right w:val="single" w:color="auto" w:sz="6" w:space="0"/>
            </w:tcBorders>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项目、课题名称（下达编号）</w:t>
            </w:r>
          </w:p>
        </w:tc>
        <w:tc>
          <w:tcPr>
            <w:tcW w:w="143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来源</w:t>
            </w:r>
          </w:p>
        </w:tc>
        <w:tc>
          <w:tcPr>
            <w:tcW w:w="1701"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起讫时间</w:t>
            </w:r>
          </w:p>
        </w:tc>
        <w:tc>
          <w:tcPr>
            <w:tcW w:w="141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承担人及署名情况</w:t>
            </w:r>
          </w:p>
        </w:tc>
        <w:tc>
          <w:tcPr>
            <w:tcW w:w="972"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经费（万元）</w:t>
            </w:r>
          </w:p>
        </w:tc>
      </w:tr>
      <w:tr>
        <w:tblPrEx>
          <w:tblLayout w:type="fixed"/>
          <w:tblCellMar>
            <w:top w:w="0" w:type="dxa"/>
            <w:left w:w="28" w:type="dxa"/>
            <w:bottom w:w="0" w:type="dxa"/>
            <w:right w:w="28" w:type="dxa"/>
          </w:tblCellMar>
        </w:tblPrEx>
        <w:trPr>
          <w:cantSplit/>
          <w:trHeight w:val="393" w:hRule="atLeast"/>
          <w:jc w:val="center"/>
        </w:trPr>
        <w:tc>
          <w:tcPr>
            <w:tcW w:w="4473" w:type="dxa"/>
            <w:tcBorders>
              <w:left w:val="single" w:color="auto" w:sz="4"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从舞蹈发生学的角度探究中国健身舞蹈的传承与研发机制（B12001）</w:t>
            </w:r>
          </w:p>
        </w:tc>
        <w:tc>
          <w:tcPr>
            <w:tcW w:w="1438" w:type="dxa"/>
            <w:tcBorders>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天津市艺术规划课题</w:t>
            </w:r>
          </w:p>
        </w:tc>
        <w:tc>
          <w:tcPr>
            <w:tcW w:w="1701" w:type="dxa"/>
            <w:tcBorders>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2012.10-2016.12.15</w:t>
            </w:r>
          </w:p>
        </w:tc>
        <w:tc>
          <w:tcPr>
            <w:tcW w:w="1418" w:type="dxa"/>
            <w:tcBorders>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课题负责人</w:t>
            </w:r>
          </w:p>
        </w:tc>
        <w:tc>
          <w:tcPr>
            <w:tcW w:w="972" w:type="dxa"/>
            <w:tcBorders>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2．5</w:t>
            </w:r>
          </w:p>
        </w:tc>
      </w:tr>
      <w:tr>
        <w:tblPrEx>
          <w:tblLayout w:type="fixed"/>
          <w:tblCellMar>
            <w:top w:w="0" w:type="dxa"/>
            <w:left w:w="28" w:type="dxa"/>
            <w:bottom w:w="0" w:type="dxa"/>
            <w:right w:w="28" w:type="dxa"/>
          </w:tblCellMar>
        </w:tblPrEx>
        <w:trPr>
          <w:cantSplit/>
          <w:trHeight w:val="393" w:hRule="atLeast"/>
          <w:jc w:val="center"/>
        </w:trPr>
        <w:tc>
          <w:tcPr>
            <w:tcW w:w="447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体育表演项目中运动员音乐素养构建研究及启示（20132610）</w:t>
            </w:r>
          </w:p>
        </w:tc>
        <w:tc>
          <w:tcPr>
            <w:tcW w:w="1438"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天津社科</w:t>
            </w:r>
          </w:p>
        </w:tc>
        <w:tc>
          <w:tcPr>
            <w:tcW w:w="1701"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2013.09-2018.05</w:t>
            </w:r>
          </w:p>
        </w:tc>
        <w:tc>
          <w:tcPr>
            <w:tcW w:w="1418"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国辉</w:t>
            </w:r>
          </w:p>
        </w:tc>
        <w:tc>
          <w:tcPr>
            <w:tcW w:w="972"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1.2万</w:t>
            </w:r>
          </w:p>
        </w:tc>
      </w:tr>
      <w:tr>
        <w:tblPrEx>
          <w:tblLayout w:type="fixed"/>
          <w:tblCellMar>
            <w:top w:w="0" w:type="dxa"/>
            <w:left w:w="28" w:type="dxa"/>
            <w:bottom w:w="0" w:type="dxa"/>
            <w:right w:w="28" w:type="dxa"/>
          </w:tblCellMar>
        </w:tblPrEx>
        <w:trPr>
          <w:cantSplit/>
          <w:trHeight w:val="393" w:hRule="atLeast"/>
          <w:jc w:val="center"/>
        </w:trPr>
        <w:tc>
          <w:tcPr>
            <w:tcW w:w="447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记忆与传承-中国民俗文化的全视角研究</w:t>
            </w:r>
          </w:p>
        </w:tc>
        <w:tc>
          <w:tcPr>
            <w:tcW w:w="1438"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天津市体育局</w:t>
            </w:r>
          </w:p>
        </w:tc>
        <w:tc>
          <w:tcPr>
            <w:tcW w:w="1701"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2018.03</w:t>
            </w:r>
          </w:p>
        </w:tc>
        <w:tc>
          <w:tcPr>
            <w:tcW w:w="1418"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国辉</w:t>
            </w:r>
          </w:p>
        </w:tc>
        <w:tc>
          <w:tcPr>
            <w:tcW w:w="972"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5千</w:t>
            </w:r>
          </w:p>
        </w:tc>
      </w:tr>
      <w:tr>
        <w:tblPrEx>
          <w:tblLayout w:type="fixed"/>
          <w:tblCellMar>
            <w:top w:w="0" w:type="dxa"/>
            <w:left w:w="28" w:type="dxa"/>
            <w:bottom w:w="0" w:type="dxa"/>
            <w:right w:w="28" w:type="dxa"/>
          </w:tblCellMar>
        </w:tblPrEx>
        <w:trPr>
          <w:cantSplit/>
          <w:trHeight w:val="393" w:hRule="atLeast"/>
          <w:jc w:val="center"/>
        </w:trPr>
        <w:tc>
          <w:tcPr>
            <w:tcW w:w="447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天津民俗文化挖掘整理</w:t>
            </w:r>
          </w:p>
        </w:tc>
        <w:tc>
          <w:tcPr>
            <w:tcW w:w="1438"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天津社科</w:t>
            </w:r>
          </w:p>
        </w:tc>
        <w:tc>
          <w:tcPr>
            <w:tcW w:w="1701"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2013.09-2018-05</w:t>
            </w:r>
          </w:p>
        </w:tc>
        <w:tc>
          <w:tcPr>
            <w:tcW w:w="1418"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国辉</w:t>
            </w:r>
          </w:p>
        </w:tc>
        <w:tc>
          <w:tcPr>
            <w:tcW w:w="972"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1.5万</w:t>
            </w:r>
          </w:p>
        </w:tc>
      </w:tr>
      <w:tr>
        <w:tblPrEx>
          <w:tblLayout w:type="fixed"/>
          <w:tblCellMar>
            <w:top w:w="0" w:type="dxa"/>
            <w:left w:w="28" w:type="dxa"/>
            <w:bottom w:w="0" w:type="dxa"/>
            <w:right w:w="28" w:type="dxa"/>
          </w:tblCellMar>
        </w:tblPrEx>
        <w:trPr>
          <w:cantSplit/>
          <w:trHeight w:val="393" w:hRule="atLeast"/>
          <w:jc w:val="center"/>
        </w:trPr>
        <w:tc>
          <w:tcPr>
            <w:tcW w:w="447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sz w:val="28"/>
                <w:szCs w:val="28"/>
              </w:rPr>
              <w:t>类科学健身示范校园建设及其相关实施方案研究</w:t>
            </w:r>
          </w:p>
        </w:tc>
        <w:tc>
          <w:tcPr>
            <w:tcW w:w="1438"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sz w:val="28"/>
                <w:szCs w:val="28"/>
              </w:rPr>
              <w:t>国家体育总局科教司</w:t>
            </w:r>
          </w:p>
        </w:tc>
        <w:tc>
          <w:tcPr>
            <w:tcW w:w="1701" w:type="dxa"/>
            <w:tcBorders>
              <w:top w:val="single" w:color="auto" w:sz="4" w:space="0"/>
              <w:left w:val="single" w:color="auto" w:sz="6" w:space="0"/>
              <w:bottom w:val="single" w:color="auto" w:sz="4" w:space="0"/>
              <w:right w:val="single" w:color="auto" w:sz="6" w:space="0"/>
            </w:tcBorders>
            <w:vAlign w:val="center"/>
          </w:tcPr>
          <w:p>
            <w:pPr>
              <w:spacing w:beforeLines="10" w:afterLines="10"/>
              <w:rPr>
                <w:rFonts w:hint="eastAsia" w:ascii="仿宋" w:hAnsi="仿宋" w:eastAsia="仿宋" w:cs="仿宋"/>
                <w:sz w:val="28"/>
                <w:szCs w:val="28"/>
              </w:rPr>
            </w:pPr>
            <w:r>
              <w:rPr>
                <w:rFonts w:hint="eastAsia" w:ascii="仿宋" w:hAnsi="仿宋" w:eastAsia="仿宋" w:cs="仿宋"/>
                <w:sz w:val="28"/>
                <w:szCs w:val="28"/>
              </w:rPr>
              <w:t>2013.07-</w:t>
            </w:r>
          </w:p>
          <w:p>
            <w:pPr>
              <w:pStyle w:val="10"/>
              <w:widowControl/>
              <w:adjustRightInd/>
              <w:spacing w:before="0" w:after="0" w:line="240" w:lineRule="auto"/>
              <w:jc w:val="center"/>
              <w:rPr>
                <w:rFonts w:hint="eastAsia" w:ascii="仿宋" w:hAnsi="仿宋" w:eastAsia="仿宋" w:cs="仿宋"/>
                <w:color w:val="000000"/>
                <w:sz w:val="28"/>
                <w:szCs w:val="28"/>
              </w:rPr>
            </w:pPr>
            <w:r>
              <w:rPr>
                <w:rFonts w:hint="eastAsia" w:ascii="仿宋" w:hAnsi="仿宋" w:eastAsia="仿宋" w:cs="仿宋"/>
                <w:sz w:val="28"/>
                <w:szCs w:val="28"/>
              </w:rPr>
              <w:t>2015.07</w:t>
            </w:r>
          </w:p>
        </w:tc>
        <w:tc>
          <w:tcPr>
            <w:tcW w:w="1418"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kern w:val="0"/>
                <w:sz w:val="28"/>
                <w:szCs w:val="28"/>
              </w:rPr>
              <w:t>承担人 第5完成人</w:t>
            </w:r>
          </w:p>
        </w:tc>
        <w:tc>
          <w:tcPr>
            <w:tcW w:w="972"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30万</w:t>
            </w:r>
          </w:p>
        </w:tc>
      </w:tr>
      <w:tr>
        <w:tblPrEx>
          <w:tblLayout w:type="fixed"/>
          <w:tblCellMar>
            <w:top w:w="0" w:type="dxa"/>
            <w:left w:w="28" w:type="dxa"/>
            <w:bottom w:w="0" w:type="dxa"/>
            <w:right w:w="28" w:type="dxa"/>
          </w:tblCellMar>
        </w:tblPrEx>
        <w:trPr>
          <w:cantSplit/>
          <w:trHeight w:val="393" w:hRule="atLeast"/>
          <w:jc w:val="center"/>
        </w:trPr>
        <w:tc>
          <w:tcPr>
            <w:tcW w:w="447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sz w:val="28"/>
                <w:szCs w:val="28"/>
              </w:rPr>
            </w:pPr>
            <w:r>
              <w:rPr>
                <w:rFonts w:hint="eastAsia" w:ascii="仿宋" w:hAnsi="仿宋" w:eastAsia="仿宋" w:cs="仿宋"/>
                <w:color w:val="000000"/>
                <w:sz w:val="28"/>
                <w:szCs w:val="28"/>
              </w:rPr>
              <w:t>天津地方民俗文化艺术与大型文体表演的融合（C14033）</w:t>
            </w:r>
          </w:p>
        </w:tc>
        <w:tc>
          <w:tcPr>
            <w:tcW w:w="1438"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rPr>
              <w:t>天津市艺术规划课题</w:t>
            </w:r>
          </w:p>
        </w:tc>
        <w:tc>
          <w:tcPr>
            <w:tcW w:w="1701"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sz w:val="28"/>
                <w:szCs w:val="28"/>
              </w:rPr>
            </w:pPr>
            <w:r>
              <w:rPr>
                <w:rFonts w:hint="eastAsia" w:ascii="仿宋" w:hAnsi="仿宋" w:eastAsia="仿宋" w:cs="仿宋"/>
                <w:sz w:val="28"/>
                <w:szCs w:val="28"/>
              </w:rPr>
              <w:t>2014.09-2015.09</w:t>
            </w:r>
          </w:p>
        </w:tc>
        <w:tc>
          <w:tcPr>
            <w:tcW w:w="1418"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刘雪涛、第4完成人</w:t>
            </w:r>
          </w:p>
        </w:tc>
        <w:tc>
          <w:tcPr>
            <w:tcW w:w="972"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2万</w:t>
            </w:r>
          </w:p>
        </w:tc>
      </w:tr>
    </w:tbl>
    <w:p>
      <w:pPr>
        <w:spacing w:beforeLines="50" w:afterLines="50"/>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附表2．近五年研究生导师发表的代表性论文清单（限30项）</w:t>
      </w:r>
    </w:p>
    <w:tbl>
      <w:tblPr>
        <w:tblStyle w:val="7"/>
        <w:tblW w:w="9747" w:type="dxa"/>
        <w:jc w:val="center"/>
        <w:tblInd w:w="0" w:type="dxa"/>
        <w:tblLayout w:type="fixed"/>
        <w:tblCellMar>
          <w:top w:w="0" w:type="dxa"/>
          <w:left w:w="28" w:type="dxa"/>
          <w:bottom w:w="0" w:type="dxa"/>
          <w:right w:w="28" w:type="dxa"/>
        </w:tblCellMar>
      </w:tblPr>
      <w:tblGrid>
        <w:gridCol w:w="626"/>
        <w:gridCol w:w="3957"/>
        <w:gridCol w:w="1195"/>
        <w:gridCol w:w="1134"/>
        <w:gridCol w:w="1559"/>
        <w:gridCol w:w="1276"/>
      </w:tblGrid>
      <w:tr>
        <w:tblPrEx>
          <w:tblLayout w:type="fixed"/>
          <w:tblCellMar>
            <w:top w:w="0" w:type="dxa"/>
            <w:left w:w="28" w:type="dxa"/>
            <w:bottom w:w="0" w:type="dxa"/>
            <w:right w:w="28" w:type="dxa"/>
          </w:tblCellMar>
        </w:tblPrEx>
        <w:trPr>
          <w:cantSplit/>
          <w:trHeight w:val="576" w:hRule="atLeast"/>
          <w:jc w:val="center"/>
        </w:trPr>
        <w:tc>
          <w:tcPr>
            <w:tcW w:w="626" w:type="dxa"/>
            <w:tcBorders>
              <w:top w:val="single" w:color="auto" w:sz="6" w:space="0"/>
              <w:left w:val="single" w:color="auto" w:sz="6" w:space="0"/>
              <w:bottom w:val="single" w:color="auto" w:sz="6" w:space="0"/>
              <w:right w:val="single" w:color="auto" w:sz="4" w:space="0"/>
            </w:tcBorders>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序号</w:t>
            </w:r>
          </w:p>
        </w:tc>
        <w:tc>
          <w:tcPr>
            <w:tcW w:w="3957" w:type="dxa"/>
            <w:tcBorders>
              <w:top w:val="single" w:color="auto" w:sz="6" w:space="0"/>
              <w:left w:val="single" w:color="auto" w:sz="4" w:space="0"/>
              <w:bottom w:val="single" w:color="auto" w:sz="6" w:space="0"/>
              <w:right w:val="single" w:color="auto" w:sz="6" w:space="0"/>
            </w:tcBorders>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论文名称</w:t>
            </w:r>
          </w:p>
        </w:tc>
        <w:tc>
          <w:tcPr>
            <w:tcW w:w="1195"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第一作者或</w:t>
            </w:r>
          </w:p>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通讯作者</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发表年月</w:t>
            </w:r>
          </w:p>
        </w:tc>
        <w:tc>
          <w:tcPr>
            <w:tcW w:w="1559"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发表刊物</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是否博导</w:t>
            </w:r>
          </w:p>
        </w:tc>
      </w:tr>
      <w:tr>
        <w:tblPrEx>
          <w:tblLayout w:type="fixed"/>
          <w:tblCellMar>
            <w:top w:w="0" w:type="dxa"/>
            <w:left w:w="28" w:type="dxa"/>
            <w:bottom w:w="0" w:type="dxa"/>
            <w:right w:w="28" w:type="dxa"/>
          </w:tblCellMar>
        </w:tblPrEx>
        <w:trPr>
          <w:cantSplit/>
          <w:trHeight w:val="393" w:hRule="atLeast"/>
          <w:jc w:val="center"/>
        </w:trPr>
        <w:tc>
          <w:tcPr>
            <w:tcW w:w="626" w:type="dxa"/>
            <w:tcBorders>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3957" w:type="dxa"/>
            <w:tcBorders>
              <w:left w:val="single" w:color="auto" w:sz="4"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中国当代健身舞蹈的功能性研究</w:t>
            </w:r>
          </w:p>
        </w:tc>
        <w:tc>
          <w:tcPr>
            <w:tcW w:w="1195" w:type="dxa"/>
            <w:tcBorders>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第一作者</w:t>
            </w:r>
          </w:p>
        </w:tc>
        <w:tc>
          <w:tcPr>
            <w:tcW w:w="1134" w:type="dxa"/>
            <w:tcBorders>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2014(01)</w:t>
            </w:r>
          </w:p>
        </w:tc>
        <w:tc>
          <w:tcPr>
            <w:tcW w:w="1559" w:type="dxa"/>
            <w:tcBorders>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舞蹈</w:t>
            </w:r>
          </w:p>
        </w:tc>
        <w:tc>
          <w:tcPr>
            <w:tcW w:w="1276" w:type="dxa"/>
            <w:tcBorders>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r>
      <w:tr>
        <w:tblPrEx>
          <w:tblLayout w:type="fixed"/>
          <w:tblCellMar>
            <w:top w:w="0" w:type="dxa"/>
            <w:left w:w="28" w:type="dxa"/>
            <w:bottom w:w="0" w:type="dxa"/>
            <w:right w:w="28" w:type="dxa"/>
          </w:tblCellMar>
        </w:tblPrEx>
        <w:trPr>
          <w:cantSplit/>
          <w:trHeight w:val="393"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3957"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我国健身舞蹈功能体系研究</w:t>
            </w:r>
            <w:r>
              <w:rPr>
                <w:rFonts w:hint="eastAsia" w:ascii="仿宋" w:hAnsi="仿宋" w:eastAsia="仿宋" w:cs="仿宋"/>
                <w:color w:val="000000"/>
                <w:kern w:val="0"/>
                <w:sz w:val="28"/>
                <w:szCs w:val="28"/>
              </w:rPr>
              <w:tab/>
            </w:r>
          </w:p>
        </w:tc>
        <w:tc>
          <w:tcPr>
            <w:tcW w:w="119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第一作者</w:t>
            </w:r>
          </w:p>
        </w:tc>
        <w:tc>
          <w:tcPr>
            <w:tcW w:w="1134"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2014(02)</w:t>
            </w:r>
          </w:p>
        </w:tc>
        <w:tc>
          <w:tcPr>
            <w:tcW w:w="1559"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体育文化导刊</w:t>
            </w:r>
          </w:p>
        </w:tc>
        <w:tc>
          <w:tcPr>
            <w:tcW w:w="1276"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r>
      <w:tr>
        <w:tblPrEx>
          <w:tblLayout w:type="fixed"/>
          <w:tblCellMar>
            <w:top w:w="0" w:type="dxa"/>
            <w:left w:w="28" w:type="dxa"/>
            <w:bottom w:w="0" w:type="dxa"/>
            <w:right w:w="28" w:type="dxa"/>
          </w:tblCellMar>
        </w:tblPrEx>
        <w:trPr>
          <w:cantSplit/>
          <w:trHeight w:val="393"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3957"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从舞蹈发生学的角度探究中国健身舞蹈的传承与研发机制</w:t>
            </w:r>
          </w:p>
        </w:tc>
        <w:tc>
          <w:tcPr>
            <w:tcW w:w="119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第一作者</w:t>
            </w:r>
          </w:p>
        </w:tc>
        <w:tc>
          <w:tcPr>
            <w:tcW w:w="1134"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2016(12)</w:t>
            </w:r>
          </w:p>
        </w:tc>
        <w:tc>
          <w:tcPr>
            <w:tcW w:w="1559"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体育文化导刊</w:t>
            </w:r>
          </w:p>
        </w:tc>
        <w:tc>
          <w:tcPr>
            <w:tcW w:w="1276"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r>
      <w:tr>
        <w:tblPrEx>
          <w:tblLayout w:type="fixed"/>
          <w:tblCellMar>
            <w:top w:w="0" w:type="dxa"/>
            <w:left w:w="28" w:type="dxa"/>
            <w:bottom w:w="0" w:type="dxa"/>
            <w:right w:w="28" w:type="dxa"/>
          </w:tblCellMar>
        </w:tblPrEx>
        <w:trPr>
          <w:cantSplit/>
          <w:trHeight w:val="393"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w:t>
            </w:r>
          </w:p>
        </w:tc>
        <w:tc>
          <w:tcPr>
            <w:tcW w:w="3957" w:type="dxa"/>
            <w:tcBorders>
              <w:top w:val="single" w:color="auto" w:sz="4" w:space="0"/>
              <w:left w:val="single" w:color="auto" w:sz="4" w:space="0"/>
              <w:bottom w:val="single" w:color="auto" w:sz="4" w:space="0"/>
              <w:right w:val="single" w:color="auto" w:sz="6" w:space="0"/>
            </w:tcBorders>
            <w:vAlign w:val="center"/>
          </w:tcPr>
          <w:p>
            <w:pPr>
              <w:spacing w:beforeLines="10" w:afterLines="10"/>
              <w:rPr>
                <w:rFonts w:hint="eastAsia" w:ascii="仿宋" w:hAnsi="仿宋" w:eastAsia="仿宋" w:cs="仿宋"/>
                <w:sz w:val="28"/>
                <w:szCs w:val="28"/>
              </w:rPr>
            </w:pPr>
            <w:r>
              <w:rPr>
                <w:rFonts w:hint="eastAsia" w:ascii="仿宋" w:hAnsi="仿宋" w:eastAsia="仿宋" w:cs="仿宋"/>
                <w:sz w:val="28"/>
                <w:szCs w:val="28"/>
              </w:rPr>
              <w:t>简述欧洲声乐艺术传播场所的历史演变</w:t>
            </w:r>
          </w:p>
          <w:p>
            <w:pPr>
              <w:widowControl/>
              <w:jc w:val="left"/>
              <w:rPr>
                <w:rFonts w:hint="eastAsia" w:ascii="仿宋" w:hAnsi="仿宋" w:eastAsia="仿宋" w:cs="仿宋"/>
                <w:color w:val="000000"/>
                <w:kern w:val="0"/>
                <w:sz w:val="28"/>
                <w:szCs w:val="28"/>
              </w:rPr>
            </w:pPr>
          </w:p>
        </w:tc>
        <w:tc>
          <w:tcPr>
            <w:tcW w:w="119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sz w:val="28"/>
                <w:szCs w:val="28"/>
              </w:rPr>
              <w:t>第一作者</w:t>
            </w:r>
          </w:p>
        </w:tc>
        <w:tc>
          <w:tcPr>
            <w:tcW w:w="1134"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color w:val="000000"/>
                <w:sz w:val="28"/>
                <w:szCs w:val="28"/>
              </w:rPr>
            </w:pPr>
            <w:r>
              <w:rPr>
                <w:rFonts w:hint="eastAsia" w:ascii="仿宋" w:hAnsi="仿宋" w:eastAsia="仿宋" w:cs="仿宋"/>
                <w:sz w:val="28"/>
                <w:szCs w:val="28"/>
              </w:rPr>
              <w:t>2013（5）</w:t>
            </w:r>
          </w:p>
        </w:tc>
        <w:tc>
          <w:tcPr>
            <w:tcW w:w="1559"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sz w:val="28"/>
                <w:szCs w:val="28"/>
              </w:rPr>
              <w:t>《大舞台》</w:t>
            </w:r>
          </w:p>
        </w:tc>
        <w:tc>
          <w:tcPr>
            <w:tcW w:w="1276"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r>
      <w:tr>
        <w:tblPrEx>
          <w:tblLayout w:type="fixed"/>
          <w:tblCellMar>
            <w:top w:w="0" w:type="dxa"/>
            <w:left w:w="28" w:type="dxa"/>
            <w:bottom w:w="0" w:type="dxa"/>
            <w:right w:w="28" w:type="dxa"/>
          </w:tblCellMar>
        </w:tblPrEx>
        <w:trPr>
          <w:cantSplit/>
          <w:trHeight w:val="393"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3957"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sz w:val="28"/>
                <w:szCs w:val="28"/>
              </w:rPr>
              <w:t>天津地区法鼓的舞蹈特点研究及其价值分析</w:t>
            </w:r>
          </w:p>
        </w:tc>
        <w:tc>
          <w:tcPr>
            <w:tcW w:w="119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sz w:val="28"/>
                <w:szCs w:val="28"/>
              </w:rPr>
            </w:pPr>
            <w:r>
              <w:rPr>
                <w:rFonts w:hint="eastAsia" w:ascii="仿宋" w:hAnsi="仿宋" w:eastAsia="仿宋" w:cs="仿宋"/>
                <w:sz w:val="28"/>
                <w:szCs w:val="28"/>
              </w:rPr>
              <w:t>第一作者</w:t>
            </w:r>
          </w:p>
        </w:tc>
        <w:tc>
          <w:tcPr>
            <w:tcW w:w="1134"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sz w:val="28"/>
                <w:szCs w:val="28"/>
              </w:rPr>
            </w:pPr>
            <w:r>
              <w:rPr>
                <w:rFonts w:hint="eastAsia" w:ascii="仿宋" w:hAnsi="仿宋" w:eastAsia="仿宋" w:cs="仿宋"/>
                <w:sz w:val="28"/>
                <w:szCs w:val="28"/>
              </w:rPr>
              <w:t>2014（11）</w:t>
            </w:r>
          </w:p>
        </w:tc>
        <w:tc>
          <w:tcPr>
            <w:tcW w:w="1559"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sz w:val="28"/>
                <w:szCs w:val="28"/>
              </w:rPr>
            </w:pPr>
            <w:r>
              <w:rPr>
                <w:rFonts w:hint="eastAsia" w:ascii="仿宋" w:hAnsi="仿宋" w:eastAsia="仿宋" w:cs="仿宋"/>
                <w:sz w:val="28"/>
                <w:szCs w:val="28"/>
              </w:rPr>
              <w:t>《大舞台》</w:t>
            </w:r>
          </w:p>
        </w:tc>
        <w:tc>
          <w:tcPr>
            <w:tcW w:w="1276"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r>
    </w:tbl>
    <w:p>
      <w:pPr>
        <w:spacing w:beforeLines="50" w:afterLines="50"/>
        <w:jc w:val="center"/>
        <w:rPr>
          <w:rFonts w:hint="eastAsia" w:ascii="仿宋" w:hAnsi="仿宋" w:eastAsia="仿宋" w:cs="仿宋"/>
          <w:b/>
          <w:color w:val="D99594"/>
          <w:sz w:val="28"/>
          <w:szCs w:val="28"/>
        </w:rPr>
      </w:pPr>
      <w:r>
        <w:rPr>
          <w:rFonts w:hint="eastAsia" w:ascii="仿宋" w:hAnsi="仿宋" w:eastAsia="仿宋" w:cs="仿宋"/>
          <w:b/>
          <w:color w:val="D99594"/>
          <w:sz w:val="28"/>
          <w:szCs w:val="28"/>
        </w:rPr>
        <w:t xml:space="preserve">     </w:t>
      </w:r>
    </w:p>
    <w:p>
      <w:pPr>
        <w:spacing w:beforeLines="50" w:afterLines="50"/>
        <w:jc w:val="center"/>
        <w:rPr>
          <w:rFonts w:hint="eastAsia" w:ascii="仿宋" w:hAnsi="仿宋" w:eastAsia="仿宋" w:cs="仿宋"/>
          <w:b/>
          <w:color w:val="D99594"/>
          <w:sz w:val="28"/>
          <w:szCs w:val="28"/>
        </w:rPr>
      </w:pPr>
    </w:p>
    <w:p>
      <w:pPr>
        <w:spacing w:beforeLines="50" w:afterLines="50"/>
        <w:jc w:val="center"/>
        <w:rPr>
          <w:rFonts w:hint="eastAsia" w:ascii="仿宋" w:hAnsi="仿宋" w:eastAsia="仿宋" w:cs="仿宋"/>
          <w:b/>
          <w:color w:val="D99594"/>
          <w:sz w:val="28"/>
          <w:szCs w:val="28"/>
        </w:rPr>
      </w:pPr>
    </w:p>
    <w:p>
      <w:pPr>
        <w:spacing w:beforeLines="50" w:afterLines="50"/>
        <w:jc w:val="center"/>
        <w:rPr>
          <w:rFonts w:hint="eastAsia" w:ascii="仿宋" w:hAnsi="仿宋" w:eastAsia="仿宋" w:cs="仿宋"/>
          <w:b/>
          <w:color w:val="D99594"/>
          <w:sz w:val="28"/>
          <w:szCs w:val="28"/>
        </w:rPr>
      </w:pPr>
    </w:p>
    <w:p>
      <w:pPr>
        <w:widowControl/>
        <w:jc w:val="left"/>
        <w:rPr>
          <w:rFonts w:hint="eastAsia" w:ascii="仿宋" w:hAnsi="仿宋" w:eastAsia="仿宋" w:cs="仿宋"/>
          <w:b/>
          <w:color w:val="D99594"/>
          <w:sz w:val="28"/>
          <w:szCs w:val="28"/>
        </w:rPr>
        <w:sectPr>
          <w:footerReference r:id="rId7"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b/>
          <w:color w:val="D99594"/>
          <w:sz w:val="28"/>
          <w:szCs w:val="28"/>
        </w:rPr>
        <w:t xml:space="preserve"> </w:t>
      </w:r>
    </w:p>
    <w:p>
      <w:pPr>
        <w:spacing w:beforeLines="50" w:afterLines="50"/>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附表3．近五年研究生发表的代表性论文清单</w:t>
      </w:r>
    </w:p>
    <w:p>
      <w:pPr>
        <w:spacing w:beforeLines="50" w:afterLines="50"/>
        <w:jc w:val="center"/>
        <w:rPr>
          <w:rFonts w:hint="eastAsia" w:ascii="仿宋" w:hAnsi="仿宋" w:eastAsia="仿宋" w:cs="仿宋"/>
          <w:b/>
          <w:bCs/>
          <w:color w:val="000000"/>
          <w:sz w:val="28"/>
          <w:szCs w:val="28"/>
        </w:rPr>
      </w:pPr>
    </w:p>
    <w:tbl>
      <w:tblPr>
        <w:tblStyle w:val="7"/>
        <w:tblW w:w="12464" w:type="dxa"/>
        <w:jc w:val="center"/>
        <w:tblInd w:w="0" w:type="dxa"/>
        <w:tblLayout w:type="fixed"/>
        <w:tblCellMar>
          <w:top w:w="0" w:type="dxa"/>
          <w:left w:w="28" w:type="dxa"/>
          <w:bottom w:w="0" w:type="dxa"/>
          <w:right w:w="28" w:type="dxa"/>
        </w:tblCellMar>
      </w:tblPr>
      <w:tblGrid>
        <w:gridCol w:w="300"/>
        <w:gridCol w:w="645"/>
        <w:gridCol w:w="4013"/>
        <w:gridCol w:w="1275"/>
        <w:gridCol w:w="1560"/>
        <w:gridCol w:w="1842"/>
        <w:gridCol w:w="993"/>
        <w:gridCol w:w="1545"/>
        <w:gridCol w:w="291"/>
      </w:tblGrid>
      <w:tr>
        <w:tblPrEx>
          <w:tblLayout w:type="fixed"/>
          <w:tblCellMar>
            <w:top w:w="0" w:type="dxa"/>
            <w:left w:w="28" w:type="dxa"/>
            <w:bottom w:w="0" w:type="dxa"/>
            <w:right w:w="28" w:type="dxa"/>
          </w:tblCellMar>
        </w:tblPrEx>
        <w:trPr>
          <w:cantSplit/>
          <w:trHeight w:val="576" w:hRule="atLeast"/>
          <w:jc w:val="center"/>
        </w:trPr>
        <w:tc>
          <w:tcPr>
            <w:tcW w:w="945" w:type="dxa"/>
            <w:gridSpan w:val="2"/>
            <w:tcBorders>
              <w:top w:val="single" w:color="auto" w:sz="6" w:space="0"/>
              <w:left w:val="single" w:color="auto" w:sz="6" w:space="0"/>
              <w:bottom w:val="single" w:color="auto" w:sz="6" w:space="0"/>
              <w:right w:val="single" w:color="auto" w:sz="4" w:space="0"/>
            </w:tcBorders>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序号</w:t>
            </w:r>
          </w:p>
        </w:tc>
        <w:tc>
          <w:tcPr>
            <w:tcW w:w="4013" w:type="dxa"/>
            <w:tcBorders>
              <w:top w:val="single" w:color="auto" w:sz="6" w:space="0"/>
              <w:left w:val="single" w:color="auto" w:sz="4" w:space="0"/>
              <w:bottom w:val="single" w:color="auto" w:sz="6" w:space="0"/>
              <w:right w:val="single" w:color="auto" w:sz="6" w:space="0"/>
            </w:tcBorders>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论文名称</w:t>
            </w:r>
          </w:p>
        </w:tc>
        <w:tc>
          <w:tcPr>
            <w:tcW w:w="1275"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第一作者或</w:t>
            </w:r>
          </w:p>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通讯作者</w:t>
            </w:r>
          </w:p>
        </w:tc>
        <w:tc>
          <w:tcPr>
            <w:tcW w:w="156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发表年月</w:t>
            </w:r>
          </w:p>
        </w:tc>
        <w:tc>
          <w:tcPr>
            <w:tcW w:w="1842"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发表刊物</w:t>
            </w:r>
          </w:p>
        </w:tc>
        <w:tc>
          <w:tcPr>
            <w:tcW w:w="993"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单位署名</w:t>
            </w:r>
          </w:p>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情况</w:t>
            </w:r>
          </w:p>
        </w:tc>
        <w:tc>
          <w:tcPr>
            <w:tcW w:w="1836"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是否博士生</w:t>
            </w:r>
          </w:p>
        </w:tc>
      </w:tr>
      <w:tr>
        <w:tblPrEx>
          <w:tblLayout w:type="fixed"/>
          <w:tblCellMar>
            <w:top w:w="0" w:type="dxa"/>
            <w:left w:w="28" w:type="dxa"/>
            <w:bottom w:w="0" w:type="dxa"/>
            <w:right w:w="28" w:type="dxa"/>
          </w:tblCellMar>
        </w:tblPrEx>
        <w:trPr>
          <w:cantSplit/>
          <w:trHeight w:val="393" w:hRule="atLeast"/>
          <w:jc w:val="center"/>
        </w:trPr>
        <w:tc>
          <w:tcPr>
            <w:tcW w:w="945" w:type="dxa"/>
            <w:gridSpan w:val="2"/>
            <w:tcBorders>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4013" w:type="dxa"/>
            <w:tcBorders>
              <w:left w:val="single" w:color="auto" w:sz="4"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sz w:val="28"/>
                <w:szCs w:val="28"/>
              </w:rPr>
              <w:t>《可穿戴设备对健身行为影响机理研究》</w:t>
            </w:r>
          </w:p>
        </w:tc>
        <w:tc>
          <w:tcPr>
            <w:tcW w:w="1275" w:type="dxa"/>
            <w:tcBorders>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李树桦</w:t>
            </w:r>
          </w:p>
        </w:tc>
        <w:tc>
          <w:tcPr>
            <w:tcW w:w="1560" w:type="dxa"/>
            <w:tcBorders>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color w:val="000000"/>
                <w:sz w:val="28"/>
                <w:szCs w:val="28"/>
              </w:rPr>
            </w:pPr>
            <w:r>
              <w:rPr>
                <w:rFonts w:hint="eastAsia" w:ascii="仿宋" w:hAnsi="仿宋" w:eastAsia="仿宋" w:cs="仿宋"/>
                <w:sz w:val="28"/>
                <w:szCs w:val="28"/>
              </w:rPr>
              <w:t>2016年第34期</w:t>
            </w:r>
          </w:p>
        </w:tc>
        <w:tc>
          <w:tcPr>
            <w:tcW w:w="1842" w:type="dxa"/>
            <w:tcBorders>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sz w:val="28"/>
                <w:szCs w:val="28"/>
              </w:rPr>
              <w:t>科教导刊</w:t>
            </w:r>
          </w:p>
        </w:tc>
        <w:tc>
          <w:tcPr>
            <w:tcW w:w="993" w:type="dxa"/>
            <w:tcBorders>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836" w:type="dxa"/>
            <w:gridSpan w:val="2"/>
            <w:tcBorders>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r>
      <w:tr>
        <w:tblPrEx>
          <w:tblLayout w:type="fixed"/>
          <w:tblCellMar>
            <w:top w:w="0" w:type="dxa"/>
            <w:left w:w="28" w:type="dxa"/>
            <w:bottom w:w="0" w:type="dxa"/>
            <w:right w:w="28" w:type="dxa"/>
          </w:tblCellMar>
        </w:tblPrEx>
        <w:trPr>
          <w:cantSplit/>
          <w:trHeight w:val="393" w:hRule="atLeast"/>
          <w:jc w:val="center"/>
        </w:trPr>
        <w:tc>
          <w:tcPr>
            <w:tcW w:w="9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sz w:val="28"/>
                <w:szCs w:val="28"/>
              </w:rPr>
              <w:t>《天津市普通高校瑜伽课程开展现状的研究》</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李树桦</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color w:val="000000"/>
                <w:sz w:val="28"/>
                <w:szCs w:val="28"/>
              </w:rPr>
            </w:pPr>
            <w:r>
              <w:rPr>
                <w:rFonts w:hint="eastAsia" w:ascii="仿宋" w:hAnsi="仿宋" w:eastAsia="仿宋" w:cs="仿宋"/>
                <w:sz w:val="28"/>
                <w:szCs w:val="28"/>
              </w:rPr>
              <w:t>2017年第8期</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sz w:val="28"/>
                <w:szCs w:val="28"/>
              </w:rPr>
              <w:t>《中国新课程教育教研》</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836" w:type="dxa"/>
            <w:gridSpan w:val="2"/>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r>
      <w:tr>
        <w:tblPrEx>
          <w:tblLayout w:type="fixed"/>
          <w:tblCellMar>
            <w:top w:w="0" w:type="dxa"/>
            <w:left w:w="28" w:type="dxa"/>
            <w:bottom w:w="0" w:type="dxa"/>
            <w:right w:w="28" w:type="dxa"/>
          </w:tblCellMar>
        </w:tblPrEx>
        <w:trPr>
          <w:cantSplit/>
          <w:trHeight w:val="393" w:hRule="atLeast"/>
          <w:jc w:val="center"/>
        </w:trPr>
        <w:tc>
          <w:tcPr>
            <w:tcW w:w="9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sz w:val="28"/>
                <w:szCs w:val="28"/>
              </w:rPr>
              <w:t>《瑜伽鼻腔洁净法改善鼻炎症状效果研究》</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李树桦</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color w:val="000000"/>
                <w:sz w:val="28"/>
                <w:szCs w:val="28"/>
              </w:rPr>
            </w:pPr>
            <w:r>
              <w:rPr>
                <w:rFonts w:hint="eastAsia" w:ascii="仿宋" w:hAnsi="仿宋" w:eastAsia="仿宋" w:cs="仿宋"/>
                <w:sz w:val="28"/>
                <w:szCs w:val="28"/>
              </w:rPr>
              <w:t>2017年第7期</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sz w:val="28"/>
                <w:szCs w:val="28"/>
              </w:rPr>
              <w:t>《中小学教材教学》</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836" w:type="dxa"/>
            <w:gridSpan w:val="2"/>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r>
      <w:tr>
        <w:tblPrEx>
          <w:tblLayout w:type="fixed"/>
          <w:tblCellMar>
            <w:top w:w="0" w:type="dxa"/>
            <w:left w:w="28" w:type="dxa"/>
            <w:bottom w:w="0" w:type="dxa"/>
            <w:right w:w="28" w:type="dxa"/>
          </w:tblCellMar>
        </w:tblPrEx>
        <w:trPr>
          <w:cantSplit/>
          <w:trHeight w:val="393" w:hRule="atLeast"/>
          <w:jc w:val="center"/>
        </w:trPr>
        <w:tc>
          <w:tcPr>
            <w:tcW w:w="9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w:t>
            </w:r>
          </w:p>
        </w:tc>
        <w:tc>
          <w:tcPr>
            <w:tcW w:w="4013" w:type="dxa"/>
            <w:tcBorders>
              <w:top w:val="single" w:color="auto" w:sz="4" w:space="0"/>
              <w:left w:val="single" w:color="auto" w:sz="4" w:space="0"/>
              <w:bottom w:val="single" w:color="auto" w:sz="4" w:space="0"/>
              <w:right w:val="single" w:color="auto" w:sz="6" w:space="0"/>
            </w:tcBorders>
            <w:vAlign w:val="center"/>
          </w:tcPr>
          <w:p>
            <w:pPr>
              <w:tabs>
                <w:tab w:val="left" w:pos="1440"/>
              </w:tabs>
              <w:jc w:val="left"/>
              <w:rPr>
                <w:rFonts w:hint="eastAsia" w:ascii="仿宋" w:hAnsi="仿宋" w:eastAsia="仿宋" w:cs="仿宋"/>
                <w:color w:val="000000"/>
                <w:kern w:val="0"/>
                <w:sz w:val="28"/>
                <w:szCs w:val="28"/>
              </w:rPr>
            </w:pPr>
            <w:r>
              <w:rPr>
                <w:rFonts w:hint="eastAsia" w:ascii="仿宋" w:hAnsi="仿宋" w:eastAsia="仿宋" w:cs="仿宋"/>
                <w:sz w:val="28"/>
                <w:szCs w:val="28"/>
              </w:rPr>
              <w:t>《张家口市沙城县幼儿园开设拉丁舞的现状与对策研究》</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sz w:val="28"/>
                <w:szCs w:val="28"/>
              </w:rPr>
              <w:t>王颖君</w:t>
            </w:r>
          </w:p>
        </w:tc>
        <w:tc>
          <w:tcPr>
            <w:tcW w:w="1560" w:type="dxa"/>
            <w:tcBorders>
              <w:top w:val="single" w:color="auto" w:sz="4" w:space="0"/>
              <w:left w:val="single" w:color="auto" w:sz="6" w:space="0"/>
              <w:bottom w:val="single" w:color="auto" w:sz="4" w:space="0"/>
              <w:right w:val="single" w:color="auto" w:sz="6" w:space="0"/>
            </w:tcBorders>
            <w:vAlign w:val="center"/>
          </w:tcPr>
          <w:p>
            <w:pPr>
              <w:tabs>
                <w:tab w:val="left" w:pos="1440"/>
              </w:tabs>
              <w:jc w:val="left"/>
              <w:rPr>
                <w:rFonts w:hint="eastAsia" w:ascii="仿宋" w:hAnsi="仿宋" w:eastAsia="仿宋" w:cs="仿宋"/>
                <w:sz w:val="28"/>
                <w:szCs w:val="28"/>
              </w:rPr>
            </w:pPr>
            <w:r>
              <w:rPr>
                <w:rFonts w:hint="eastAsia" w:ascii="仿宋" w:hAnsi="仿宋" w:eastAsia="仿宋" w:cs="仿宋"/>
                <w:sz w:val="28"/>
                <w:szCs w:val="28"/>
              </w:rPr>
              <w:t>2017年第4期</w:t>
            </w:r>
          </w:p>
          <w:p>
            <w:pPr>
              <w:pStyle w:val="10"/>
              <w:widowControl/>
              <w:adjustRightInd/>
              <w:spacing w:before="0" w:after="0" w:line="240" w:lineRule="auto"/>
              <w:jc w:val="center"/>
              <w:rPr>
                <w:rFonts w:hint="eastAsia" w:ascii="仿宋" w:hAnsi="仿宋" w:eastAsia="仿宋" w:cs="仿宋"/>
                <w:color w:val="000000"/>
                <w:sz w:val="28"/>
                <w:szCs w:val="28"/>
              </w:rPr>
            </w:pPr>
          </w:p>
        </w:tc>
        <w:tc>
          <w:tcPr>
            <w:tcW w:w="1842" w:type="dxa"/>
            <w:tcBorders>
              <w:top w:val="single" w:color="auto" w:sz="4" w:space="0"/>
              <w:left w:val="single" w:color="auto" w:sz="6" w:space="0"/>
              <w:bottom w:val="single" w:color="auto" w:sz="4" w:space="0"/>
              <w:right w:val="single" w:color="auto" w:sz="6" w:space="0"/>
            </w:tcBorders>
            <w:vAlign w:val="center"/>
          </w:tcPr>
          <w:p>
            <w:pPr>
              <w:pStyle w:val="2"/>
              <w:rPr>
                <w:rFonts w:hint="eastAsia" w:ascii="仿宋" w:hAnsi="仿宋" w:eastAsia="仿宋" w:cs="仿宋"/>
                <w:color w:val="000000"/>
                <w:kern w:val="0"/>
                <w:sz w:val="28"/>
                <w:szCs w:val="28"/>
              </w:rPr>
            </w:pPr>
            <w:r>
              <w:rPr>
                <w:rFonts w:hint="eastAsia" w:ascii="仿宋" w:hAnsi="仿宋" w:eastAsia="仿宋" w:cs="仿宋"/>
                <w:sz w:val="28"/>
                <w:szCs w:val="28"/>
              </w:rPr>
              <w:t>《中小学教材教学》</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836" w:type="dxa"/>
            <w:gridSpan w:val="2"/>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sz w:val="28"/>
                <w:szCs w:val="28"/>
              </w:rPr>
              <w:t>《山东省济南市广场舞现状与对策研究》</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sz w:val="28"/>
                <w:szCs w:val="28"/>
              </w:rPr>
              <w:t>王颖君</w:t>
            </w:r>
          </w:p>
        </w:tc>
        <w:tc>
          <w:tcPr>
            <w:tcW w:w="1560" w:type="dxa"/>
            <w:tcBorders>
              <w:top w:val="single" w:color="auto" w:sz="4" w:space="0"/>
              <w:left w:val="single" w:color="auto" w:sz="6" w:space="0"/>
              <w:bottom w:val="single" w:color="auto" w:sz="4" w:space="0"/>
              <w:right w:val="single" w:color="auto" w:sz="6" w:space="0"/>
            </w:tcBorders>
            <w:vAlign w:val="center"/>
          </w:tcPr>
          <w:p>
            <w:pPr>
              <w:tabs>
                <w:tab w:val="left" w:pos="1440"/>
              </w:tabs>
              <w:jc w:val="left"/>
              <w:rPr>
                <w:rFonts w:hint="eastAsia" w:ascii="仿宋" w:hAnsi="仿宋" w:eastAsia="仿宋" w:cs="仿宋"/>
                <w:sz w:val="28"/>
                <w:szCs w:val="28"/>
              </w:rPr>
            </w:pPr>
            <w:r>
              <w:rPr>
                <w:rFonts w:hint="eastAsia" w:ascii="仿宋" w:hAnsi="仿宋" w:eastAsia="仿宋" w:cs="仿宋"/>
                <w:sz w:val="28"/>
                <w:szCs w:val="28"/>
              </w:rPr>
              <w:t>2017年第5期</w:t>
            </w:r>
          </w:p>
          <w:p>
            <w:pPr>
              <w:pStyle w:val="10"/>
              <w:widowControl/>
              <w:adjustRightInd/>
              <w:spacing w:before="0" w:after="0" w:line="240" w:lineRule="auto"/>
              <w:jc w:val="center"/>
              <w:rPr>
                <w:rFonts w:hint="eastAsia" w:ascii="仿宋" w:hAnsi="仿宋" w:eastAsia="仿宋" w:cs="仿宋"/>
                <w:color w:val="000000"/>
                <w:sz w:val="28"/>
                <w:szCs w:val="28"/>
              </w:rPr>
            </w:pP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sz w:val="28"/>
                <w:szCs w:val="28"/>
              </w:rPr>
              <w:t>《中国新课程教育教研》</w:t>
            </w:r>
          </w:p>
          <w:p>
            <w:pPr>
              <w:widowControl/>
              <w:jc w:val="center"/>
              <w:rPr>
                <w:rFonts w:hint="eastAsia" w:ascii="仿宋" w:hAnsi="仿宋" w:eastAsia="仿宋" w:cs="仿宋"/>
                <w:color w:val="000000"/>
                <w:kern w:val="0"/>
                <w:sz w:val="28"/>
                <w:szCs w:val="28"/>
              </w:rPr>
            </w:pP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836" w:type="dxa"/>
            <w:gridSpan w:val="2"/>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sz w:val="28"/>
                <w:szCs w:val="28"/>
              </w:rPr>
              <w:t>《幼儿舞蹈对幼儿身心健康发展的研究——以河北省张家口市宣化五所幼儿园为例》</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sz w:val="28"/>
                <w:szCs w:val="28"/>
              </w:rPr>
              <w:t>王颖君</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color w:val="000000"/>
                <w:sz w:val="28"/>
                <w:szCs w:val="28"/>
              </w:rPr>
            </w:pPr>
            <w:r>
              <w:rPr>
                <w:rFonts w:hint="eastAsia" w:ascii="仿宋" w:hAnsi="仿宋" w:eastAsia="仿宋" w:cs="仿宋"/>
                <w:sz w:val="28"/>
                <w:szCs w:val="28"/>
              </w:rPr>
              <w:t>2017年第6期</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sz w:val="28"/>
                <w:szCs w:val="28"/>
              </w:rPr>
              <w:t>《中国新课程教育教研》</w:t>
            </w:r>
          </w:p>
          <w:p>
            <w:pPr>
              <w:widowControl/>
              <w:jc w:val="center"/>
              <w:rPr>
                <w:rFonts w:hint="eastAsia" w:ascii="仿宋" w:hAnsi="仿宋" w:eastAsia="仿宋" w:cs="仿宋"/>
                <w:color w:val="000000"/>
                <w:kern w:val="0"/>
                <w:sz w:val="28"/>
                <w:szCs w:val="28"/>
              </w:rPr>
            </w:pP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836" w:type="dxa"/>
            <w:gridSpan w:val="2"/>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7</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sz w:val="28"/>
                <w:szCs w:val="28"/>
              </w:rPr>
              <w:t>《中国当代健身舞蹈功能体系构建》</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于倩</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color w:val="000000"/>
                <w:sz w:val="28"/>
                <w:szCs w:val="28"/>
              </w:rPr>
            </w:pPr>
            <w:r>
              <w:rPr>
                <w:rFonts w:hint="eastAsia" w:ascii="仿宋" w:hAnsi="仿宋" w:eastAsia="仿宋" w:cs="仿宋"/>
                <w:kern w:val="2"/>
                <w:sz w:val="28"/>
                <w:szCs w:val="28"/>
              </w:rPr>
              <w:t>2016年第7期</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sz w:val="28"/>
                <w:szCs w:val="28"/>
              </w:rPr>
              <w:t>中国新课程教育教研</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836" w:type="dxa"/>
            <w:gridSpan w:val="2"/>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sz w:val="28"/>
                <w:szCs w:val="28"/>
              </w:rPr>
              <w:t>《满族民间舞蹈“猴打棒”的特征与传承研究》</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于倩</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color w:val="000000"/>
                <w:sz w:val="28"/>
                <w:szCs w:val="28"/>
              </w:rPr>
            </w:pPr>
            <w:r>
              <w:rPr>
                <w:rFonts w:hint="eastAsia" w:ascii="仿宋" w:hAnsi="仿宋" w:eastAsia="仿宋" w:cs="仿宋"/>
                <w:kern w:val="2"/>
                <w:sz w:val="28"/>
                <w:szCs w:val="28"/>
              </w:rPr>
              <w:t>2016年第8期</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sz w:val="28"/>
                <w:szCs w:val="28"/>
              </w:rPr>
              <w:t>中国新课程教育教研</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836" w:type="dxa"/>
            <w:gridSpan w:val="2"/>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9</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sz w:val="28"/>
                <w:szCs w:val="28"/>
              </w:rPr>
              <w:t>《论当代大众审美文化视野下的昌黎地秧歌》</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于倩</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color w:val="000000"/>
                <w:sz w:val="28"/>
                <w:szCs w:val="28"/>
              </w:rPr>
            </w:pPr>
            <w:r>
              <w:rPr>
                <w:rFonts w:hint="eastAsia" w:ascii="仿宋" w:hAnsi="仿宋" w:eastAsia="仿宋" w:cs="仿宋"/>
                <w:kern w:val="2"/>
                <w:sz w:val="28"/>
                <w:szCs w:val="28"/>
              </w:rPr>
              <w:t>2016年第8期</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sz w:val="28"/>
                <w:szCs w:val="28"/>
              </w:rPr>
              <w:t>中国新课程教育教研</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836" w:type="dxa"/>
            <w:gridSpan w:val="2"/>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10</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sz w:val="28"/>
                <w:szCs w:val="28"/>
              </w:rPr>
              <w:t>《满族寸子秧歌的艺术特征与保护路径研究》</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于倩</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color w:val="000000"/>
                <w:sz w:val="28"/>
                <w:szCs w:val="28"/>
              </w:rPr>
            </w:pPr>
            <w:r>
              <w:rPr>
                <w:rFonts w:hint="eastAsia" w:ascii="仿宋" w:hAnsi="仿宋" w:eastAsia="仿宋" w:cs="仿宋"/>
                <w:kern w:val="2"/>
                <w:sz w:val="28"/>
                <w:szCs w:val="28"/>
              </w:rPr>
              <w:t>2017年第7期</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sz w:val="28"/>
                <w:szCs w:val="28"/>
              </w:rPr>
              <w:t>中小学教材教学</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836" w:type="dxa"/>
            <w:gridSpan w:val="2"/>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sz w:val="28"/>
                <w:szCs w:val="28"/>
              </w:rPr>
              <w:t>《民族民间舞蹈元素在广场舞中的运用》</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于倩</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color w:val="000000"/>
                <w:sz w:val="28"/>
                <w:szCs w:val="28"/>
              </w:rPr>
            </w:pPr>
            <w:r>
              <w:rPr>
                <w:rFonts w:hint="eastAsia" w:ascii="仿宋" w:hAnsi="仿宋" w:eastAsia="仿宋" w:cs="仿宋"/>
                <w:kern w:val="2"/>
                <w:sz w:val="28"/>
                <w:szCs w:val="28"/>
              </w:rPr>
              <w:t>2017年第8期</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sz w:val="28"/>
                <w:szCs w:val="28"/>
              </w:rPr>
              <w:t>中国新课程教育教研</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545"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c>
          <w:tcPr>
            <w:tcW w:w="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12</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color w:val="000000"/>
                <w:kern w:val="0"/>
                <w:sz w:val="28"/>
                <w:szCs w:val="28"/>
              </w:rPr>
            </w:pPr>
            <w:r>
              <w:rPr>
                <w:rFonts w:hint="eastAsia" w:ascii="仿宋" w:hAnsi="仿宋" w:eastAsia="仿宋" w:cs="仿宋"/>
                <w:sz w:val="28"/>
                <w:szCs w:val="28"/>
              </w:rPr>
              <w:t>《我国当代健身舞蹈的功能性研究》</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于倩</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color w:val="000000"/>
                <w:sz w:val="28"/>
                <w:szCs w:val="28"/>
              </w:rPr>
            </w:pPr>
            <w:r>
              <w:rPr>
                <w:rFonts w:hint="eastAsia" w:ascii="仿宋" w:hAnsi="仿宋" w:eastAsia="仿宋" w:cs="仿宋"/>
                <w:kern w:val="2"/>
                <w:sz w:val="28"/>
                <w:szCs w:val="28"/>
              </w:rPr>
              <w:t>2017年第8期</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sz w:val="28"/>
                <w:szCs w:val="28"/>
              </w:rPr>
              <w:t>中国新课程教育教研</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545"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c>
          <w:tcPr>
            <w:tcW w:w="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13</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sz w:val="28"/>
                <w:szCs w:val="28"/>
              </w:rPr>
            </w:pPr>
            <w:r>
              <w:rPr>
                <w:rFonts w:hint="eastAsia" w:ascii="仿宋" w:hAnsi="仿宋" w:eastAsia="仿宋" w:cs="仿宋"/>
                <w:sz w:val="28"/>
                <w:szCs w:val="28"/>
              </w:rPr>
              <w:t>《新民乐传统与现代，古典与流行》</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张曼莉</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kern w:val="2"/>
                <w:sz w:val="28"/>
                <w:szCs w:val="28"/>
              </w:rPr>
            </w:pPr>
            <w:r>
              <w:rPr>
                <w:rFonts w:hint="eastAsia" w:ascii="仿宋" w:hAnsi="仿宋" w:eastAsia="仿宋" w:cs="仿宋"/>
                <w:color w:val="000000"/>
                <w:sz w:val="28"/>
                <w:szCs w:val="28"/>
              </w:rPr>
              <w:t>2017.4</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rPr>
              <w:t>教学研究</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545"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c>
          <w:tcPr>
            <w:tcW w:w="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14</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sz w:val="28"/>
                <w:szCs w:val="28"/>
              </w:rPr>
            </w:pPr>
            <w:r>
              <w:rPr>
                <w:rFonts w:hint="eastAsia" w:ascii="仿宋" w:hAnsi="仿宋" w:eastAsia="仿宋" w:cs="仿宋"/>
                <w:sz w:val="28"/>
                <w:szCs w:val="28"/>
              </w:rPr>
              <w:t>《从文化视角赏析舞剧一把酸枣》</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张曼莉</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kern w:val="2"/>
                <w:sz w:val="28"/>
                <w:szCs w:val="28"/>
              </w:rPr>
            </w:pPr>
            <w:r>
              <w:rPr>
                <w:rFonts w:hint="eastAsia" w:ascii="仿宋" w:hAnsi="仿宋" w:eastAsia="仿宋" w:cs="仿宋"/>
                <w:color w:val="000000"/>
                <w:sz w:val="28"/>
                <w:szCs w:val="28"/>
              </w:rPr>
              <w:t>2017.4</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rPr>
              <w:t>教育研究</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545"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c>
          <w:tcPr>
            <w:tcW w:w="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15</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sz w:val="28"/>
                <w:szCs w:val="28"/>
              </w:rPr>
            </w:pPr>
            <w:r>
              <w:rPr>
                <w:rFonts w:hint="eastAsia" w:ascii="仿宋" w:hAnsi="仿宋" w:eastAsia="仿宋" w:cs="仿宋"/>
                <w:sz w:val="28"/>
                <w:szCs w:val="28"/>
              </w:rPr>
              <w:t>《论舞蹈结构在舞蹈编排中的重要性》</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张曼莉</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kern w:val="2"/>
                <w:sz w:val="28"/>
                <w:szCs w:val="28"/>
              </w:rPr>
            </w:pPr>
            <w:r>
              <w:rPr>
                <w:rFonts w:hint="eastAsia" w:ascii="仿宋" w:hAnsi="仿宋" w:eastAsia="仿宋" w:cs="仿宋"/>
                <w:color w:val="000000"/>
                <w:sz w:val="28"/>
                <w:szCs w:val="28"/>
              </w:rPr>
              <w:t>2017.4</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rPr>
              <w:t>教育研究</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545"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c>
          <w:tcPr>
            <w:tcW w:w="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16</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sz w:val="28"/>
                <w:szCs w:val="28"/>
              </w:rPr>
            </w:pPr>
            <w:r>
              <w:rPr>
                <w:rFonts w:hint="eastAsia" w:ascii="仿宋" w:hAnsi="仿宋" w:eastAsia="仿宋" w:cs="仿宋"/>
                <w:sz w:val="28"/>
                <w:szCs w:val="28"/>
              </w:rPr>
              <w:t>《简论藏传佛教祭拜礼在藏族舞蹈中的艺术呈现》</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郑婧婧</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kern w:val="2"/>
                <w:sz w:val="28"/>
                <w:szCs w:val="28"/>
              </w:rPr>
            </w:pPr>
            <w:r>
              <w:rPr>
                <w:rFonts w:hint="eastAsia" w:ascii="仿宋" w:hAnsi="仿宋" w:eastAsia="仿宋" w:cs="仿宋"/>
                <w:kern w:val="2"/>
                <w:sz w:val="28"/>
                <w:szCs w:val="28"/>
              </w:rPr>
              <w:t>2017年第7期</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sz w:val="28"/>
                <w:szCs w:val="28"/>
              </w:rPr>
            </w:pPr>
            <w:r>
              <w:rPr>
                <w:rFonts w:hint="eastAsia" w:ascii="仿宋" w:hAnsi="仿宋" w:eastAsia="仿宋" w:cs="仿宋"/>
                <w:sz w:val="28"/>
                <w:szCs w:val="28"/>
              </w:rPr>
              <w:t>中国新课程教育教研</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545"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c>
          <w:tcPr>
            <w:tcW w:w="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17</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sz w:val="28"/>
                <w:szCs w:val="28"/>
              </w:rPr>
            </w:pPr>
            <w:r>
              <w:rPr>
                <w:rFonts w:hint="eastAsia" w:ascii="仿宋" w:hAnsi="仿宋" w:eastAsia="仿宋" w:cs="仿宋"/>
                <w:sz w:val="28"/>
                <w:szCs w:val="28"/>
              </w:rPr>
              <w:t>《浅谈舞蹈&lt;金陵十三钗&gt;的创作体验》</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郑婧婧</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kern w:val="2"/>
                <w:sz w:val="28"/>
                <w:szCs w:val="28"/>
              </w:rPr>
            </w:pPr>
            <w:r>
              <w:rPr>
                <w:rFonts w:hint="eastAsia" w:ascii="仿宋" w:hAnsi="仿宋" w:eastAsia="仿宋" w:cs="仿宋"/>
                <w:kern w:val="2"/>
                <w:sz w:val="28"/>
                <w:szCs w:val="28"/>
              </w:rPr>
              <w:t>2017年第7期</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sz w:val="28"/>
                <w:szCs w:val="28"/>
              </w:rPr>
            </w:pPr>
            <w:r>
              <w:rPr>
                <w:rFonts w:hint="eastAsia" w:ascii="仿宋" w:hAnsi="仿宋" w:eastAsia="仿宋" w:cs="仿宋"/>
                <w:sz w:val="28"/>
                <w:szCs w:val="28"/>
              </w:rPr>
              <w:t>中国新课程教育教研</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545"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c>
          <w:tcPr>
            <w:tcW w:w="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18</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sz w:val="28"/>
                <w:szCs w:val="28"/>
              </w:rPr>
            </w:pPr>
            <w:r>
              <w:rPr>
                <w:rFonts w:hint="eastAsia" w:ascii="仿宋" w:hAnsi="仿宋" w:eastAsia="仿宋" w:cs="仿宋"/>
                <w:sz w:val="28"/>
                <w:szCs w:val="28"/>
              </w:rPr>
              <w:t>《论当代舞&lt;八女投江&gt;的作品分析》</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郑婧婧</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kern w:val="2"/>
                <w:sz w:val="28"/>
                <w:szCs w:val="28"/>
              </w:rPr>
            </w:pPr>
            <w:r>
              <w:rPr>
                <w:rFonts w:hint="eastAsia" w:ascii="仿宋" w:hAnsi="仿宋" w:eastAsia="仿宋" w:cs="仿宋"/>
                <w:kern w:val="2"/>
                <w:sz w:val="28"/>
                <w:szCs w:val="28"/>
              </w:rPr>
              <w:t>2017年第7期</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sz w:val="28"/>
                <w:szCs w:val="28"/>
              </w:rPr>
            </w:pPr>
            <w:r>
              <w:rPr>
                <w:rFonts w:hint="eastAsia" w:ascii="仿宋" w:hAnsi="仿宋" w:eastAsia="仿宋" w:cs="仿宋"/>
                <w:sz w:val="28"/>
                <w:szCs w:val="28"/>
              </w:rPr>
              <w:t>中国新课程教育教研</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545"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c>
          <w:tcPr>
            <w:tcW w:w="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19</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sz w:val="28"/>
                <w:szCs w:val="28"/>
              </w:rPr>
            </w:pPr>
            <w:r>
              <w:rPr>
                <w:rFonts w:hint="eastAsia" w:ascii="仿宋" w:hAnsi="仿宋" w:eastAsia="仿宋" w:cs="仿宋"/>
                <w:sz w:val="28"/>
                <w:szCs w:val="28"/>
              </w:rPr>
              <w:t>《浅谈赣南采茶舞的艺术价值》</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郑婧婧</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kern w:val="2"/>
                <w:sz w:val="28"/>
                <w:szCs w:val="28"/>
              </w:rPr>
            </w:pPr>
            <w:r>
              <w:rPr>
                <w:rFonts w:hint="eastAsia" w:ascii="仿宋" w:hAnsi="仿宋" w:eastAsia="仿宋" w:cs="仿宋"/>
                <w:kern w:val="2"/>
                <w:sz w:val="28"/>
                <w:szCs w:val="28"/>
              </w:rPr>
              <w:t>2018年第3期</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sz w:val="28"/>
                <w:szCs w:val="28"/>
              </w:rPr>
            </w:pPr>
            <w:r>
              <w:rPr>
                <w:rFonts w:hint="eastAsia" w:ascii="仿宋" w:hAnsi="仿宋" w:eastAsia="仿宋" w:cs="仿宋"/>
                <w:sz w:val="28"/>
                <w:szCs w:val="28"/>
              </w:rPr>
              <w:t>基础教育课程</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545"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c>
          <w:tcPr>
            <w:tcW w:w="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20</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sz w:val="28"/>
                <w:szCs w:val="28"/>
              </w:rPr>
            </w:pPr>
            <w:r>
              <w:rPr>
                <w:rFonts w:hint="eastAsia" w:ascii="仿宋" w:hAnsi="仿宋" w:eastAsia="仿宋" w:cs="仿宋"/>
                <w:sz w:val="28"/>
                <w:szCs w:val="28"/>
              </w:rPr>
              <w:t>《浅谈赣南采茶舞的起源与发展》</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郑婧婧</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kern w:val="2"/>
                <w:sz w:val="28"/>
                <w:szCs w:val="28"/>
              </w:rPr>
            </w:pPr>
            <w:r>
              <w:rPr>
                <w:rFonts w:hint="eastAsia" w:ascii="仿宋" w:hAnsi="仿宋" w:eastAsia="仿宋" w:cs="仿宋"/>
                <w:kern w:val="2"/>
                <w:sz w:val="28"/>
                <w:szCs w:val="28"/>
              </w:rPr>
              <w:t>2018年第3期</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sz w:val="28"/>
                <w:szCs w:val="28"/>
              </w:rPr>
            </w:pPr>
            <w:r>
              <w:rPr>
                <w:rFonts w:hint="eastAsia" w:ascii="仿宋" w:hAnsi="仿宋" w:eastAsia="仿宋" w:cs="仿宋"/>
                <w:sz w:val="28"/>
                <w:szCs w:val="28"/>
              </w:rPr>
              <w:t>基础教育课程</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545"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c>
          <w:tcPr>
            <w:tcW w:w="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21</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sz w:val="28"/>
                <w:szCs w:val="28"/>
              </w:rPr>
            </w:pPr>
            <w:r>
              <w:rPr>
                <w:rFonts w:hint="eastAsia" w:ascii="仿宋" w:hAnsi="仿宋" w:eastAsia="仿宋" w:cs="仿宋"/>
                <w:sz w:val="28"/>
                <w:szCs w:val="28"/>
              </w:rPr>
              <w:t>《简析体育舞蹈的“中国化”生态模式》</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康广</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kern w:val="2"/>
                <w:sz w:val="28"/>
                <w:szCs w:val="28"/>
              </w:rPr>
            </w:pPr>
            <w:r>
              <w:rPr>
                <w:rFonts w:hint="eastAsia" w:ascii="仿宋" w:hAnsi="仿宋" w:eastAsia="仿宋" w:cs="仿宋"/>
                <w:color w:val="000000"/>
                <w:sz w:val="28"/>
                <w:szCs w:val="28"/>
              </w:rPr>
              <w:t>2018.05</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rPr>
              <w:t>《基础教育课程》</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545"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c>
          <w:tcPr>
            <w:tcW w:w="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22</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sz w:val="28"/>
                <w:szCs w:val="28"/>
              </w:rPr>
            </w:pPr>
            <w:r>
              <w:rPr>
                <w:rFonts w:hint="eastAsia" w:ascii="仿宋" w:hAnsi="仿宋" w:eastAsia="仿宋" w:cs="仿宋"/>
                <w:sz w:val="28"/>
                <w:szCs w:val="28"/>
              </w:rPr>
              <w:t>《论舞伴关系对摩登舞学习的影响》</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康广</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kern w:val="2"/>
                <w:sz w:val="28"/>
                <w:szCs w:val="28"/>
              </w:rPr>
            </w:pPr>
            <w:r>
              <w:rPr>
                <w:rFonts w:hint="eastAsia" w:ascii="仿宋" w:hAnsi="仿宋" w:eastAsia="仿宋" w:cs="仿宋"/>
                <w:color w:val="000000"/>
                <w:sz w:val="28"/>
                <w:szCs w:val="28"/>
              </w:rPr>
              <w:t>2018.05</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rPr>
              <w:t>《基础教育课程》</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545"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c>
          <w:tcPr>
            <w:tcW w:w="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23</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sz w:val="28"/>
                <w:szCs w:val="28"/>
              </w:rPr>
            </w:pPr>
            <w:r>
              <w:rPr>
                <w:rFonts w:hint="eastAsia" w:ascii="仿宋" w:hAnsi="仿宋" w:eastAsia="仿宋" w:cs="仿宋"/>
                <w:sz w:val="28"/>
                <w:szCs w:val="28"/>
              </w:rPr>
              <w:t>《论影响拉丁舞竞技比赛成绩的因素》</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康广</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kern w:val="2"/>
                <w:sz w:val="28"/>
                <w:szCs w:val="28"/>
              </w:rPr>
            </w:pPr>
            <w:r>
              <w:rPr>
                <w:rFonts w:hint="eastAsia" w:ascii="仿宋" w:hAnsi="仿宋" w:eastAsia="仿宋" w:cs="仿宋"/>
                <w:color w:val="000000"/>
                <w:sz w:val="28"/>
                <w:szCs w:val="28"/>
              </w:rPr>
              <w:t>2018.06</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rPr>
              <w:t>《基础教育课程》</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545"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c>
          <w:tcPr>
            <w:tcW w:w="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24</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sz w:val="28"/>
                <w:szCs w:val="28"/>
              </w:rPr>
            </w:pPr>
            <w:r>
              <w:rPr>
                <w:rFonts w:hint="eastAsia" w:ascii="仿宋" w:hAnsi="仿宋" w:eastAsia="仿宋" w:cs="仿宋"/>
                <w:sz w:val="28"/>
                <w:szCs w:val="28"/>
              </w:rPr>
              <w:t>《当下幼儿园中幼儿舞蹈教育的问题及对策的研究》</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郝亚茹</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kern w:val="2"/>
                <w:sz w:val="28"/>
                <w:szCs w:val="28"/>
              </w:rPr>
            </w:pPr>
            <w:r>
              <w:rPr>
                <w:rFonts w:hint="eastAsia" w:ascii="仿宋" w:hAnsi="仿宋" w:eastAsia="仿宋" w:cs="仿宋"/>
                <w:color w:val="000000"/>
                <w:sz w:val="28"/>
                <w:szCs w:val="28"/>
              </w:rPr>
              <w:t>2017.11</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rPr>
              <w:t>《教育科学》</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545"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c>
          <w:tcPr>
            <w:tcW w:w="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25</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sz w:val="28"/>
                <w:szCs w:val="28"/>
              </w:rPr>
            </w:pPr>
            <w:r>
              <w:rPr>
                <w:rFonts w:hint="eastAsia" w:ascii="仿宋" w:hAnsi="仿宋" w:eastAsia="仿宋" w:cs="仿宋"/>
                <w:sz w:val="28"/>
                <w:szCs w:val="28"/>
              </w:rPr>
              <w:t>《启发式教学在幼儿舞蹈教学中的运用》</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sz w:val="28"/>
                <w:szCs w:val="28"/>
              </w:rPr>
              <w:t>郝亚茹</w:t>
            </w:r>
          </w:p>
        </w:tc>
        <w:tc>
          <w:tcPr>
            <w:tcW w:w="1560"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sz w:val="28"/>
                <w:szCs w:val="28"/>
              </w:rPr>
            </w:pPr>
            <w:r>
              <w:rPr>
                <w:rFonts w:hint="eastAsia" w:ascii="仿宋" w:hAnsi="仿宋" w:eastAsia="仿宋" w:cs="仿宋"/>
                <w:sz w:val="28"/>
                <w:szCs w:val="28"/>
              </w:rPr>
              <w:t>2018.03</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rPr>
              <w:t>《科教文汇》</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545"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sz w:val="28"/>
                <w:szCs w:val="28"/>
              </w:rPr>
              <w:t>否</w:t>
            </w:r>
          </w:p>
        </w:tc>
        <w:tc>
          <w:tcPr>
            <w:tcW w:w="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r>
      <w:tr>
        <w:tblPrEx>
          <w:tblLayout w:type="fixed"/>
          <w:tblCellMar>
            <w:top w:w="0" w:type="dxa"/>
            <w:left w:w="28" w:type="dxa"/>
            <w:bottom w:w="0" w:type="dxa"/>
            <w:right w:w="28" w:type="dxa"/>
          </w:tblCellMar>
        </w:tblPrEx>
        <w:trPr>
          <w:cantSplit/>
          <w:trHeight w:val="393" w:hRule="atLeast"/>
          <w:jc w:val="center"/>
        </w:trPr>
        <w:tc>
          <w:tcPr>
            <w:tcW w:w="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26</w:t>
            </w:r>
          </w:p>
        </w:tc>
        <w:tc>
          <w:tcPr>
            <w:tcW w:w="4013" w:type="dxa"/>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仿宋" w:hAnsi="仿宋" w:eastAsia="仿宋" w:cs="仿宋"/>
                <w:sz w:val="28"/>
                <w:szCs w:val="28"/>
              </w:rPr>
            </w:pPr>
            <w:r>
              <w:rPr>
                <w:rFonts w:hint="eastAsia" w:ascii="仿宋" w:hAnsi="仿宋" w:eastAsia="仿宋" w:cs="仿宋"/>
                <w:color w:val="000000"/>
                <w:kern w:val="0"/>
                <w:sz w:val="28"/>
                <w:szCs w:val="28"/>
              </w:rPr>
              <w:t>《浅议藏族热巴舞蹈的传承与发展》</w:t>
            </w:r>
          </w:p>
        </w:tc>
        <w:tc>
          <w:tcPr>
            <w:tcW w:w="1275"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张晓冉</w:t>
            </w:r>
          </w:p>
        </w:tc>
        <w:tc>
          <w:tcPr>
            <w:tcW w:w="1560" w:type="dxa"/>
            <w:tcBorders>
              <w:top w:val="single" w:color="auto" w:sz="4" w:space="0"/>
              <w:left w:val="single" w:color="auto" w:sz="6" w:space="0"/>
              <w:bottom w:val="single" w:color="auto" w:sz="4" w:space="0"/>
              <w:right w:val="single" w:color="auto" w:sz="6" w:space="0"/>
            </w:tcBorders>
            <w:vAlign w:val="center"/>
          </w:tcPr>
          <w:p>
            <w:pPr>
              <w:pStyle w:val="10"/>
              <w:widowControl/>
              <w:adjustRightInd/>
              <w:spacing w:before="0" w:after="0" w:line="240" w:lineRule="auto"/>
              <w:jc w:val="center"/>
              <w:rPr>
                <w:rFonts w:hint="eastAsia" w:ascii="仿宋" w:hAnsi="仿宋" w:eastAsia="仿宋" w:cs="仿宋"/>
                <w:kern w:val="2"/>
                <w:sz w:val="28"/>
                <w:szCs w:val="28"/>
              </w:rPr>
            </w:pPr>
            <w:r>
              <w:rPr>
                <w:rFonts w:hint="eastAsia" w:ascii="仿宋" w:hAnsi="仿宋" w:eastAsia="仿宋" w:cs="仿宋"/>
                <w:color w:val="000000"/>
                <w:sz w:val="28"/>
                <w:szCs w:val="28"/>
              </w:rPr>
              <w:t>2018.07</w:t>
            </w:r>
          </w:p>
        </w:tc>
        <w:tc>
          <w:tcPr>
            <w:tcW w:w="1842" w:type="dxa"/>
            <w:tcBorders>
              <w:top w:val="single" w:color="auto" w:sz="4" w:space="0"/>
              <w:left w:val="single" w:color="auto" w:sz="6" w:space="0"/>
              <w:bottom w:val="single" w:color="auto" w:sz="4" w:space="0"/>
              <w:right w:val="single" w:color="auto" w:sz="6" w:space="0"/>
            </w:tcBorders>
            <w:vAlign w:val="center"/>
          </w:tcPr>
          <w:p>
            <w:pPr>
              <w:widowControl/>
              <w:jc w:val="center"/>
              <w:rPr>
                <w:rFonts w:hint="eastAsia" w:ascii="仿宋" w:hAnsi="仿宋" w:eastAsia="仿宋" w:cs="仿宋"/>
                <w:sz w:val="28"/>
                <w:szCs w:val="28"/>
              </w:rPr>
            </w:pPr>
            <w:r>
              <w:rPr>
                <w:rFonts w:hint="eastAsia" w:ascii="仿宋" w:hAnsi="仿宋" w:eastAsia="仿宋" w:cs="仿宋"/>
                <w:color w:val="000000"/>
                <w:kern w:val="0"/>
                <w:sz w:val="28"/>
                <w:szCs w:val="28"/>
              </w:rPr>
              <w:t>《基础教育课程》</w:t>
            </w:r>
          </w:p>
        </w:tc>
        <w:tc>
          <w:tcPr>
            <w:tcW w:w="99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个人</w:t>
            </w:r>
          </w:p>
        </w:tc>
        <w:tc>
          <w:tcPr>
            <w:tcW w:w="1545"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否</w:t>
            </w:r>
          </w:p>
        </w:tc>
        <w:tc>
          <w:tcPr>
            <w:tcW w:w="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p>
        </w:tc>
      </w:tr>
    </w:tbl>
    <w:p>
      <w:pPr>
        <w:tabs>
          <w:tab w:val="left" w:pos="1665"/>
          <w:tab w:val="center" w:pos="4153"/>
        </w:tabs>
        <w:spacing w:beforeLines="50" w:afterLines="50"/>
        <w:jc w:val="left"/>
        <w:rPr>
          <w:rFonts w:hint="eastAsia" w:ascii="仿宋" w:hAnsi="仿宋" w:eastAsia="仿宋" w:cs="仿宋"/>
          <w:b/>
          <w:bCs/>
          <w:color w:val="000000"/>
          <w:sz w:val="28"/>
          <w:szCs w:val="28"/>
        </w:rPr>
      </w:pPr>
      <w:r>
        <w:rPr>
          <w:rFonts w:hint="eastAsia" w:ascii="仿宋" w:hAnsi="仿宋" w:eastAsia="仿宋" w:cs="仿宋"/>
          <w:b/>
          <w:bCs/>
          <w:color w:val="000000"/>
          <w:sz w:val="28"/>
          <w:szCs w:val="28"/>
        </w:rPr>
        <w:tab/>
      </w:r>
    </w:p>
    <w:p>
      <w:pPr>
        <w:tabs>
          <w:tab w:val="left" w:pos="1665"/>
          <w:tab w:val="center" w:pos="4153"/>
        </w:tabs>
        <w:spacing w:beforeLines="50" w:afterLines="50"/>
        <w:jc w:val="left"/>
        <w:rPr>
          <w:rFonts w:hint="eastAsia" w:ascii="仿宋" w:hAnsi="仿宋" w:eastAsia="仿宋" w:cs="仿宋"/>
          <w:b/>
          <w:bCs/>
          <w:color w:val="000000"/>
          <w:sz w:val="28"/>
          <w:szCs w:val="28"/>
        </w:rPr>
      </w:pPr>
      <w:r>
        <w:rPr>
          <w:rFonts w:hint="eastAsia" w:ascii="仿宋" w:hAnsi="仿宋" w:eastAsia="仿宋" w:cs="仿宋"/>
          <w:b/>
          <w:bCs/>
          <w:color w:val="000000"/>
          <w:sz w:val="28"/>
          <w:szCs w:val="28"/>
        </w:rPr>
        <w:tab/>
      </w:r>
      <w:r>
        <w:rPr>
          <w:rFonts w:hint="eastAsia" w:ascii="仿宋" w:hAnsi="仿宋" w:eastAsia="仿宋" w:cs="仿宋"/>
          <w:b/>
          <w:bCs/>
          <w:color w:val="000000"/>
          <w:sz w:val="28"/>
          <w:szCs w:val="28"/>
        </w:rPr>
        <w:t>附表4．核心课程教学情况表</w:t>
      </w:r>
    </w:p>
    <w:tbl>
      <w:tblPr>
        <w:tblStyle w:val="7"/>
        <w:tblW w:w="106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2977"/>
        <w:gridCol w:w="1454"/>
        <w:gridCol w:w="1425"/>
        <w:gridCol w:w="1276"/>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序号</w:t>
            </w:r>
          </w:p>
        </w:tc>
        <w:tc>
          <w:tcPr>
            <w:tcW w:w="2977" w:type="dxa"/>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课程名称</w:t>
            </w:r>
          </w:p>
        </w:tc>
        <w:tc>
          <w:tcPr>
            <w:tcW w:w="1454" w:type="dxa"/>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课内学时</w:t>
            </w:r>
          </w:p>
        </w:tc>
        <w:tc>
          <w:tcPr>
            <w:tcW w:w="1425" w:type="dxa"/>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授课对象（学位级别）</w:t>
            </w:r>
          </w:p>
        </w:tc>
        <w:tc>
          <w:tcPr>
            <w:tcW w:w="1276" w:type="dxa"/>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上课人数</w:t>
            </w:r>
          </w:p>
        </w:tc>
        <w:tc>
          <w:tcPr>
            <w:tcW w:w="2758" w:type="dxa"/>
            <w:vAlign w:val="center"/>
          </w:tcPr>
          <w:p>
            <w:pPr>
              <w:widowControl/>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任课教师姓名、职称、学位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2977"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中外舞蹈史</w:t>
            </w:r>
          </w:p>
        </w:tc>
        <w:tc>
          <w:tcPr>
            <w:tcW w:w="1454"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36</w:t>
            </w:r>
          </w:p>
        </w:tc>
        <w:tc>
          <w:tcPr>
            <w:tcW w:w="1425"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研究生</w:t>
            </w:r>
          </w:p>
        </w:tc>
        <w:tc>
          <w:tcPr>
            <w:tcW w:w="1276"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2758"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刘颖、教授、学士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2977"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舞蹈剧目分析与赏析</w:t>
            </w:r>
          </w:p>
        </w:tc>
        <w:tc>
          <w:tcPr>
            <w:tcW w:w="1454"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16</w:t>
            </w:r>
          </w:p>
        </w:tc>
        <w:tc>
          <w:tcPr>
            <w:tcW w:w="1425"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研究生</w:t>
            </w:r>
          </w:p>
        </w:tc>
        <w:tc>
          <w:tcPr>
            <w:tcW w:w="1276"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2758"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刘颖、教授、学士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2977"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即兴舞蹈</w:t>
            </w:r>
          </w:p>
        </w:tc>
        <w:tc>
          <w:tcPr>
            <w:tcW w:w="1454"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20</w:t>
            </w:r>
          </w:p>
        </w:tc>
        <w:tc>
          <w:tcPr>
            <w:tcW w:w="1425"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研究生</w:t>
            </w:r>
          </w:p>
        </w:tc>
        <w:tc>
          <w:tcPr>
            <w:tcW w:w="1276"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2758"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刘颖、教授、学士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w:t>
            </w:r>
          </w:p>
        </w:tc>
        <w:tc>
          <w:tcPr>
            <w:tcW w:w="2977"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舞蹈教学法-教学方法与实践教学</w:t>
            </w:r>
          </w:p>
        </w:tc>
        <w:tc>
          <w:tcPr>
            <w:tcW w:w="1454"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w:t>
            </w:r>
          </w:p>
        </w:tc>
        <w:tc>
          <w:tcPr>
            <w:tcW w:w="1425"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研究生</w:t>
            </w:r>
          </w:p>
        </w:tc>
        <w:tc>
          <w:tcPr>
            <w:tcW w:w="1276"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2758"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刘颖、教授、学士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2977"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舞蹈学概论</w:t>
            </w:r>
          </w:p>
        </w:tc>
        <w:tc>
          <w:tcPr>
            <w:tcW w:w="1454"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28</w:t>
            </w:r>
          </w:p>
        </w:tc>
        <w:tc>
          <w:tcPr>
            <w:tcW w:w="1425"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研究生</w:t>
            </w:r>
          </w:p>
        </w:tc>
        <w:tc>
          <w:tcPr>
            <w:tcW w:w="1276"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2758"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董焱、副教授、硕士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w:t>
            </w:r>
          </w:p>
        </w:tc>
        <w:tc>
          <w:tcPr>
            <w:tcW w:w="2977"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舞蹈写作</w:t>
            </w:r>
          </w:p>
        </w:tc>
        <w:tc>
          <w:tcPr>
            <w:tcW w:w="1454"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28</w:t>
            </w:r>
          </w:p>
        </w:tc>
        <w:tc>
          <w:tcPr>
            <w:tcW w:w="1425"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研究生</w:t>
            </w:r>
          </w:p>
        </w:tc>
        <w:tc>
          <w:tcPr>
            <w:tcW w:w="1276"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2758"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董焱、副教授、硕士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7</w:t>
            </w:r>
          </w:p>
        </w:tc>
        <w:tc>
          <w:tcPr>
            <w:tcW w:w="2977"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舞蹈专业理论</w:t>
            </w:r>
          </w:p>
        </w:tc>
        <w:tc>
          <w:tcPr>
            <w:tcW w:w="1454"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w:t>
            </w:r>
          </w:p>
        </w:tc>
        <w:tc>
          <w:tcPr>
            <w:tcW w:w="1425"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研究生</w:t>
            </w:r>
          </w:p>
        </w:tc>
        <w:tc>
          <w:tcPr>
            <w:tcW w:w="1276"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2758"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董焱、副教授、硕士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w:t>
            </w:r>
          </w:p>
        </w:tc>
        <w:tc>
          <w:tcPr>
            <w:tcW w:w="2977"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音乐鉴赏</w:t>
            </w:r>
          </w:p>
        </w:tc>
        <w:tc>
          <w:tcPr>
            <w:tcW w:w="1454"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w:t>
            </w:r>
          </w:p>
        </w:tc>
        <w:tc>
          <w:tcPr>
            <w:tcW w:w="1425"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研究生</w:t>
            </w:r>
          </w:p>
        </w:tc>
        <w:tc>
          <w:tcPr>
            <w:tcW w:w="1276"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2758"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国辉、副教授、硕士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9</w:t>
            </w:r>
          </w:p>
        </w:tc>
        <w:tc>
          <w:tcPr>
            <w:tcW w:w="2977"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古典音乐欣赏讲座</w:t>
            </w:r>
          </w:p>
        </w:tc>
        <w:tc>
          <w:tcPr>
            <w:tcW w:w="1454"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16</w:t>
            </w:r>
          </w:p>
        </w:tc>
        <w:tc>
          <w:tcPr>
            <w:tcW w:w="1425"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研究生</w:t>
            </w:r>
          </w:p>
        </w:tc>
        <w:tc>
          <w:tcPr>
            <w:tcW w:w="1276"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40</w:t>
            </w:r>
          </w:p>
        </w:tc>
        <w:tc>
          <w:tcPr>
            <w:tcW w:w="2758"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田宏玲、副教授、硕士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10</w:t>
            </w:r>
          </w:p>
        </w:tc>
        <w:tc>
          <w:tcPr>
            <w:tcW w:w="2977"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东西方音乐史</w:t>
            </w:r>
          </w:p>
        </w:tc>
        <w:tc>
          <w:tcPr>
            <w:tcW w:w="1454"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36</w:t>
            </w:r>
          </w:p>
        </w:tc>
        <w:tc>
          <w:tcPr>
            <w:tcW w:w="1425"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研究生</w:t>
            </w:r>
          </w:p>
        </w:tc>
        <w:tc>
          <w:tcPr>
            <w:tcW w:w="1276"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2758"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国辉、副教授、硕士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w:t>
            </w:r>
          </w:p>
        </w:tc>
        <w:tc>
          <w:tcPr>
            <w:tcW w:w="2977"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经典音乐欣赏 </w:t>
            </w:r>
          </w:p>
        </w:tc>
        <w:tc>
          <w:tcPr>
            <w:tcW w:w="1454"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20</w:t>
            </w:r>
          </w:p>
        </w:tc>
        <w:tc>
          <w:tcPr>
            <w:tcW w:w="1425"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研究生</w:t>
            </w:r>
          </w:p>
        </w:tc>
        <w:tc>
          <w:tcPr>
            <w:tcW w:w="1276"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2758"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田宏玲、副教授、硕士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12</w:t>
            </w:r>
          </w:p>
        </w:tc>
        <w:tc>
          <w:tcPr>
            <w:tcW w:w="2977"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音乐教学理论与实践</w:t>
            </w:r>
          </w:p>
        </w:tc>
        <w:tc>
          <w:tcPr>
            <w:tcW w:w="1454"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14</w:t>
            </w:r>
          </w:p>
        </w:tc>
        <w:tc>
          <w:tcPr>
            <w:tcW w:w="1425"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研究生</w:t>
            </w:r>
          </w:p>
        </w:tc>
        <w:tc>
          <w:tcPr>
            <w:tcW w:w="1276"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2758"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田宏玲、副教授、硕士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13</w:t>
            </w:r>
          </w:p>
        </w:tc>
        <w:tc>
          <w:tcPr>
            <w:tcW w:w="2977"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中外舞蹈作品赏析</w:t>
            </w:r>
          </w:p>
        </w:tc>
        <w:tc>
          <w:tcPr>
            <w:tcW w:w="1454"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20</w:t>
            </w:r>
          </w:p>
        </w:tc>
        <w:tc>
          <w:tcPr>
            <w:tcW w:w="1425"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研究生</w:t>
            </w:r>
          </w:p>
        </w:tc>
        <w:tc>
          <w:tcPr>
            <w:tcW w:w="1276"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2758"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吴崟、副教授、硕士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3"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14</w:t>
            </w:r>
          </w:p>
        </w:tc>
        <w:tc>
          <w:tcPr>
            <w:tcW w:w="2977"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中国民间舞蹈理论与实践</w:t>
            </w:r>
          </w:p>
        </w:tc>
        <w:tc>
          <w:tcPr>
            <w:tcW w:w="1454"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20</w:t>
            </w:r>
          </w:p>
        </w:tc>
        <w:tc>
          <w:tcPr>
            <w:tcW w:w="1425"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研究生</w:t>
            </w:r>
          </w:p>
        </w:tc>
        <w:tc>
          <w:tcPr>
            <w:tcW w:w="1276"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w:t>
            </w:r>
          </w:p>
        </w:tc>
        <w:tc>
          <w:tcPr>
            <w:tcW w:w="2758" w:type="dxa"/>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吴崟、副教授、硕士</w:t>
            </w:r>
          </w:p>
        </w:tc>
      </w:tr>
    </w:tbl>
    <w:p>
      <w:pPr>
        <w:spacing w:line="480" w:lineRule="auto"/>
        <w:rPr>
          <w:rFonts w:hint="eastAsia" w:ascii="仿宋" w:hAnsi="仿宋" w:eastAsia="仿宋" w:cs="仿宋"/>
          <w:b/>
          <w:bCs/>
          <w:color w:val="000000"/>
          <w:sz w:val="28"/>
          <w:szCs w:val="28"/>
        </w:rPr>
        <w:sectPr>
          <w:pgSz w:w="16838" w:h="11906" w:orient="landscape"/>
          <w:pgMar w:top="1800" w:right="1440" w:bottom="1800" w:left="1440" w:header="851" w:footer="992" w:gutter="0"/>
          <w:cols w:space="720" w:num="1"/>
          <w:docGrid w:type="lines" w:linePitch="312" w:charSpace="0"/>
        </w:sectPr>
      </w:pPr>
      <w:r>
        <w:rPr>
          <w:rFonts w:hint="eastAsia" w:ascii="仿宋" w:hAnsi="仿宋" w:eastAsia="仿宋" w:cs="仿宋"/>
          <w:b/>
          <w:bCs/>
          <w:color w:val="000000"/>
          <w:sz w:val="28"/>
          <w:szCs w:val="28"/>
        </w:rPr>
        <w:br w:type="page"/>
      </w:r>
    </w:p>
    <w:p>
      <w:pPr>
        <w:spacing w:line="480" w:lineRule="auto"/>
        <w:rPr>
          <w:rFonts w:hint="eastAsia" w:ascii="仿宋" w:hAnsi="仿宋" w:eastAsia="仿宋" w:cs="仿宋"/>
          <w:b/>
          <w:sz w:val="28"/>
          <w:szCs w:val="28"/>
        </w:rPr>
      </w:pPr>
      <w:r>
        <w:rPr>
          <w:rFonts w:hint="eastAsia" w:ascii="仿宋" w:hAnsi="仿宋" w:eastAsia="仿宋" w:cs="仿宋"/>
          <w:b/>
          <w:sz w:val="28"/>
          <w:szCs w:val="28"/>
        </w:rPr>
        <w:t>Ⅴ 教学条件</w:t>
      </w:r>
    </w:p>
    <w:tbl>
      <w:tblPr>
        <w:tblStyle w:val="7"/>
        <w:tblW w:w="8421"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2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56" w:hRule="atLeast"/>
          <w:jc w:val="center"/>
        </w:trPr>
        <w:tc>
          <w:tcPr>
            <w:tcW w:w="8421" w:type="dxa"/>
            <w:tcBorders>
              <w:left w:val="single" w:color="auto" w:sz="4" w:space="0"/>
            </w:tcBorders>
            <w:vAlign w:val="center"/>
          </w:tcPr>
          <w:p>
            <w:pPr>
              <w:spacing w:line="440" w:lineRule="exact"/>
              <w:jc w:val="center"/>
              <w:rPr>
                <w:rFonts w:hint="eastAsia" w:ascii="仿宋" w:hAnsi="仿宋" w:eastAsia="仿宋" w:cs="仿宋"/>
                <w:bCs/>
                <w:sz w:val="28"/>
                <w:szCs w:val="28"/>
              </w:rPr>
            </w:pPr>
            <w:r>
              <w:rPr>
                <w:rFonts w:hint="eastAsia" w:ascii="仿宋" w:hAnsi="仿宋" w:eastAsia="仿宋" w:cs="仿宋"/>
                <w:bCs/>
                <w:sz w:val="28"/>
                <w:szCs w:val="28"/>
              </w:rPr>
              <w:t>配备情况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058" w:hRule="atLeast"/>
          <w:jc w:val="center"/>
        </w:trPr>
        <w:tc>
          <w:tcPr>
            <w:tcW w:w="8421" w:type="dxa"/>
            <w:tcBorders>
              <w:left w:val="single" w:color="auto" w:sz="4" w:space="0"/>
            </w:tcBorders>
          </w:tcPr>
          <w:p>
            <w:pPr>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音乐与舞蹈学学科所需的教学设备在天津体育学院较为完善，有适宜各专业教学使用的多媒体教室、录音棚、演播室、非线编实验室、琴房、舞蹈专业教室、囊括“音、谱、图、文、像”在内的特色资料馆。有大学生活动中心校园电视台、实验剧场等给学生提供课余学习和实践场地。良好的教学设施为学科的发展提供了强有力的支持。</w:t>
            </w:r>
          </w:p>
          <w:p>
            <w:pPr>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学校还将为艺术教育硕士配备功能强大的数字图像系统，建立专业图书资料室。</w:t>
            </w:r>
          </w:p>
          <w:p>
            <w:pPr>
              <w:ind w:firstLine="560" w:firstLineChars="200"/>
              <w:rPr>
                <w:rFonts w:hint="eastAsia" w:ascii="仿宋" w:hAnsi="仿宋" w:eastAsia="仿宋" w:cs="仿宋"/>
                <w:kern w:val="0"/>
                <w:sz w:val="28"/>
                <w:szCs w:val="28"/>
              </w:rPr>
            </w:pPr>
          </w:p>
        </w:tc>
      </w:tr>
    </w:tbl>
    <w:p>
      <w:pPr>
        <w:rPr>
          <w:rFonts w:hint="eastAsia" w:ascii="仿宋" w:hAnsi="仿宋" w:eastAsia="仿宋" w:cs="仿宋"/>
          <w:b/>
          <w:sz w:val="28"/>
          <w:szCs w:val="28"/>
        </w:rPr>
      </w:pPr>
      <w:r>
        <w:rPr>
          <w:rFonts w:hint="eastAsia" w:ascii="仿宋" w:hAnsi="仿宋" w:eastAsia="仿宋" w:cs="仿宋"/>
          <w:b/>
          <w:sz w:val="28"/>
          <w:szCs w:val="28"/>
        </w:rPr>
        <w:t>Ⅵ 实践基地</w:t>
      </w:r>
    </w:p>
    <w:tbl>
      <w:tblPr>
        <w:tblStyle w:val="7"/>
        <w:tblW w:w="90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8" w:hRule="atLeast"/>
        </w:trPr>
        <w:tc>
          <w:tcPr>
            <w:tcW w:w="9057" w:type="dxa"/>
          </w:tcPr>
          <w:p>
            <w:pPr>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学校建立本硕共用实践基地，目前协议基地有：</w:t>
            </w:r>
          </w:p>
          <w:p>
            <w:pPr>
              <w:numPr>
                <w:ilvl w:val="0"/>
                <w:numId w:val="5"/>
              </w:numPr>
              <w:ind w:firstLine="435"/>
              <w:rPr>
                <w:rFonts w:hint="eastAsia" w:ascii="仿宋" w:hAnsi="仿宋" w:eastAsia="仿宋" w:cs="仿宋"/>
                <w:sz w:val="28"/>
                <w:szCs w:val="28"/>
              </w:rPr>
            </w:pPr>
            <w:r>
              <w:rPr>
                <w:rFonts w:hint="eastAsia" w:ascii="仿宋" w:hAnsi="仿宋" w:eastAsia="仿宋" w:cs="仿宋"/>
                <w:sz w:val="28"/>
                <w:szCs w:val="28"/>
              </w:rPr>
              <w:t>和平文化宫舞蹈团</w:t>
            </w:r>
          </w:p>
          <w:p>
            <w:pPr>
              <w:numPr>
                <w:ilvl w:val="0"/>
                <w:numId w:val="5"/>
              </w:numPr>
              <w:ind w:firstLine="435"/>
              <w:rPr>
                <w:rFonts w:hint="eastAsia" w:ascii="仿宋" w:hAnsi="仿宋" w:eastAsia="仿宋" w:cs="仿宋"/>
                <w:sz w:val="28"/>
                <w:szCs w:val="28"/>
              </w:rPr>
            </w:pPr>
            <w:r>
              <w:rPr>
                <w:rFonts w:hint="eastAsia" w:ascii="仿宋" w:hAnsi="仿宋" w:eastAsia="仿宋" w:cs="仿宋"/>
                <w:sz w:val="28"/>
                <w:szCs w:val="28"/>
              </w:rPr>
              <w:t>天津歌舞团</w:t>
            </w:r>
          </w:p>
          <w:p>
            <w:pPr>
              <w:numPr>
                <w:ilvl w:val="0"/>
                <w:numId w:val="5"/>
              </w:numPr>
              <w:ind w:firstLine="435"/>
              <w:rPr>
                <w:rFonts w:hint="eastAsia" w:ascii="仿宋" w:hAnsi="仿宋" w:eastAsia="仿宋" w:cs="仿宋"/>
                <w:sz w:val="28"/>
                <w:szCs w:val="28"/>
              </w:rPr>
            </w:pPr>
            <w:r>
              <w:rPr>
                <w:rFonts w:hint="eastAsia" w:ascii="仿宋" w:hAnsi="仿宋" w:eastAsia="仿宋" w:cs="仿宋"/>
                <w:sz w:val="28"/>
                <w:szCs w:val="28"/>
              </w:rPr>
              <w:t>天津市少年宫</w:t>
            </w:r>
          </w:p>
          <w:p>
            <w:pPr>
              <w:numPr>
                <w:ilvl w:val="0"/>
                <w:numId w:val="5"/>
              </w:numPr>
              <w:ind w:firstLine="435"/>
              <w:rPr>
                <w:rFonts w:hint="eastAsia" w:ascii="仿宋" w:hAnsi="仿宋" w:eastAsia="仿宋" w:cs="仿宋"/>
                <w:sz w:val="28"/>
                <w:szCs w:val="28"/>
              </w:rPr>
            </w:pPr>
            <w:r>
              <w:rPr>
                <w:rFonts w:hint="eastAsia" w:ascii="仿宋" w:hAnsi="仿宋" w:eastAsia="仿宋" w:cs="仿宋"/>
                <w:sz w:val="28"/>
                <w:szCs w:val="28"/>
              </w:rPr>
              <w:t>天津市枫林合唱团</w:t>
            </w:r>
          </w:p>
          <w:p>
            <w:pPr>
              <w:numPr>
                <w:ilvl w:val="0"/>
                <w:numId w:val="5"/>
              </w:numPr>
              <w:ind w:firstLine="435"/>
              <w:rPr>
                <w:rFonts w:hint="eastAsia" w:ascii="仿宋" w:hAnsi="仿宋" w:eastAsia="仿宋" w:cs="仿宋"/>
                <w:sz w:val="28"/>
                <w:szCs w:val="28"/>
              </w:rPr>
            </w:pPr>
            <w:r>
              <w:rPr>
                <w:rFonts w:hint="eastAsia" w:ascii="仿宋" w:hAnsi="仿宋" w:eastAsia="仿宋" w:cs="仿宋"/>
                <w:sz w:val="28"/>
                <w:szCs w:val="28"/>
              </w:rPr>
              <w:t>天津广电童星艺术团</w:t>
            </w:r>
          </w:p>
          <w:p>
            <w:pPr>
              <w:numPr>
                <w:ilvl w:val="0"/>
                <w:numId w:val="5"/>
              </w:numPr>
              <w:ind w:firstLine="435"/>
              <w:rPr>
                <w:rFonts w:hint="eastAsia" w:ascii="仿宋" w:hAnsi="仿宋" w:eastAsia="仿宋" w:cs="仿宋"/>
                <w:sz w:val="28"/>
                <w:szCs w:val="28"/>
              </w:rPr>
            </w:pPr>
            <w:r>
              <w:rPr>
                <w:rFonts w:hint="eastAsia" w:ascii="仿宋" w:hAnsi="仿宋" w:eastAsia="仿宋" w:cs="仿宋"/>
                <w:sz w:val="28"/>
                <w:szCs w:val="28"/>
              </w:rPr>
              <w:t>天津大剧院</w:t>
            </w:r>
          </w:p>
          <w:p>
            <w:pPr>
              <w:numPr>
                <w:ilvl w:val="0"/>
                <w:numId w:val="5"/>
              </w:numPr>
              <w:ind w:firstLine="435"/>
              <w:rPr>
                <w:rFonts w:hint="eastAsia" w:ascii="仿宋" w:hAnsi="仿宋" w:eastAsia="仿宋" w:cs="仿宋"/>
                <w:sz w:val="28"/>
                <w:szCs w:val="28"/>
              </w:rPr>
            </w:pPr>
            <w:r>
              <w:rPr>
                <w:rFonts w:hint="eastAsia" w:ascii="仿宋" w:hAnsi="仿宋" w:eastAsia="仿宋" w:cs="仿宋"/>
                <w:sz w:val="28"/>
                <w:szCs w:val="28"/>
              </w:rPr>
              <w:t>天津歌舞剧院</w:t>
            </w:r>
          </w:p>
          <w:p>
            <w:pPr>
              <w:numPr>
                <w:ilvl w:val="0"/>
                <w:numId w:val="5"/>
              </w:numPr>
              <w:ind w:firstLine="435"/>
              <w:rPr>
                <w:rFonts w:hint="eastAsia" w:ascii="仿宋" w:hAnsi="仿宋" w:eastAsia="仿宋" w:cs="仿宋"/>
                <w:sz w:val="28"/>
                <w:szCs w:val="28"/>
              </w:rPr>
            </w:pPr>
            <w:r>
              <w:rPr>
                <w:rFonts w:hint="eastAsia" w:ascii="仿宋" w:hAnsi="仿宋" w:eastAsia="仿宋" w:cs="仿宋"/>
                <w:sz w:val="28"/>
                <w:szCs w:val="28"/>
              </w:rPr>
              <w:t>梅地亚大剧院</w:t>
            </w:r>
          </w:p>
          <w:p>
            <w:pPr>
              <w:numPr>
                <w:ilvl w:val="0"/>
                <w:numId w:val="5"/>
              </w:numPr>
              <w:ind w:firstLine="435"/>
              <w:rPr>
                <w:rFonts w:hint="eastAsia" w:ascii="仿宋" w:hAnsi="仿宋" w:eastAsia="仿宋" w:cs="仿宋"/>
                <w:sz w:val="28"/>
                <w:szCs w:val="28"/>
              </w:rPr>
            </w:pPr>
            <w:r>
              <w:rPr>
                <w:rFonts w:hint="eastAsia" w:ascii="仿宋" w:hAnsi="仿宋" w:eastAsia="仿宋" w:cs="仿宋"/>
                <w:sz w:val="28"/>
                <w:szCs w:val="28"/>
              </w:rPr>
              <w:t xml:space="preserve">津湾大剧场    </w:t>
            </w:r>
          </w:p>
        </w:tc>
      </w:tr>
    </w:tbl>
    <w:p>
      <w:pPr>
        <w:spacing w:line="480" w:lineRule="auto"/>
        <w:jc w:val="left"/>
        <w:rPr>
          <w:rFonts w:hint="eastAsia" w:ascii="仿宋" w:hAnsi="仿宋" w:eastAsia="仿宋" w:cs="仿宋"/>
          <w:b/>
          <w:bCs/>
          <w:color w:val="1D1B11"/>
          <w:sz w:val="28"/>
          <w:szCs w:val="28"/>
        </w:rPr>
      </w:pPr>
      <w:r>
        <w:rPr>
          <w:rFonts w:hint="eastAsia" w:ascii="仿宋" w:hAnsi="仿宋" w:eastAsia="仿宋" w:cs="仿宋"/>
          <w:b/>
          <w:bCs/>
          <w:color w:val="1D1B11"/>
          <w:sz w:val="28"/>
          <w:szCs w:val="28"/>
        </w:rPr>
        <w:t>Ⅶ  经费、保障措施</w:t>
      </w:r>
    </w:p>
    <w:tbl>
      <w:tblPr>
        <w:tblStyle w:val="7"/>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7" w:hRule="atLeast"/>
        </w:trPr>
        <w:tc>
          <w:tcPr>
            <w:tcW w:w="1134" w:type="dxa"/>
            <w:vAlign w:val="center"/>
          </w:tcPr>
          <w:p>
            <w:pPr>
              <w:spacing w:line="360" w:lineRule="exact"/>
              <w:jc w:val="center"/>
              <w:rPr>
                <w:rFonts w:hint="eastAsia" w:ascii="仿宋" w:hAnsi="仿宋" w:eastAsia="仿宋" w:cs="仿宋"/>
                <w:color w:val="1D1B11"/>
                <w:sz w:val="28"/>
                <w:szCs w:val="28"/>
              </w:rPr>
            </w:pPr>
            <w:r>
              <w:rPr>
                <w:rFonts w:hint="eastAsia" w:ascii="仿宋" w:hAnsi="仿宋" w:eastAsia="仿宋" w:cs="仿宋"/>
                <w:color w:val="1D1B11"/>
                <w:sz w:val="28"/>
                <w:szCs w:val="28"/>
              </w:rPr>
              <w:t>未来三年申报单位对学位点的经费投入及用途</w:t>
            </w:r>
          </w:p>
        </w:tc>
        <w:tc>
          <w:tcPr>
            <w:tcW w:w="7938" w:type="dxa"/>
          </w:tcPr>
          <w:p>
            <w:pPr>
              <w:spacing w:line="360" w:lineRule="exact"/>
              <w:ind w:firstLine="649" w:firstLineChars="232"/>
              <w:jc w:val="left"/>
              <w:rPr>
                <w:rFonts w:hint="eastAsia" w:ascii="仿宋" w:hAnsi="仿宋" w:eastAsia="仿宋" w:cs="仿宋"/>
                <w:color w:val="1D1B11"/>
                <w:sz w:val="28"/>
                <w:szCs w:val="28"/>
              </w:rPr>
            </w:pPr>
            <w:r>
              <w:rPr>
                <w:rFonts w:hint="eastAsia" w:ascii="仿宋" w:hAnsi="仿宋" w:eastAsia="仿宋" w:cs="仿宋"/>
                <w:color w:val="1D1B11"/>
                <w:sz w:val="28"/>
                <w:szCs w:val="28"/>
              </w:rPr>
              <w:t>天津体育学院体育舞蹈学本科专业现已成为天津市品牌专业，每年得到市财政相关经费的固定投入，预计未来三年累计投入达到50-80万元。同时我们还能够获得中央财政支持地方建设经费的资助，按照十二五规划，本专业将获得150万元资助。除此之外学校每年也对品牌专业进行专项投入，预计未来三年投入量将达到25万元。</w:t>
            </w:r>
          </w:p>
          <w:p>
            <w:pPr>
              <w:spacing w:line="360" w:lineRule="exact"/>
              <w:ind w:firstLine="649" w:firstLineChars="232"/>
              <w:jc w:val="left"/>
              <w:rPr>
                <w:rFonts w:hint="eastAsia" w:ascii="仿宋" w:hAnsi="仿宋" w:eastAsia="仿宋" w:cs="仿宋"/>
                <w:color w:val="1D1B11"/>
                <w:sz w:val="28"/>
                <w:szCs w:val="28"/>
              </w:rPr>
            </w:pPr>
            <w:r>
              <w:rPr>
                <w:rFonts w:hint="eastAsia" w:ascii="仿宋" w:hAnsi="仿宋" w:eastAsia="仿宋" w:cs="仿宋"/>
                <w:color w:val="1D1B11"/>
                <w:sz w:val="28"/>
                <w:szCs w:val="28"/>
              </w:rPr>
              <w:t>所投经费将全部用于教学科研，其中80%用于购买教学设备，20%用于科研实践经费。作为专业学科，在教学资源上将与艺术学本科专业共享相关软硬件设施，为培养高层次、高质量艺术专业舞蹈方向与音乐方向人才提供有效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6" w:hRule="atLeast"/>
        </w:trPr>
        <w:tc>
          <w:tcPr>
            <w:tcW w:w="1134" w:type="dxa"/>
            <w:vAlign w:val="center"/>
          </w:tcPr>
          <w:p>
            <w:pPr>
              <w:spacing w:line="360" w:lineRule="exact"/>
              <w:jc w:val="center"/>
              <w:rPr>
                <w:rFonts w:hint="eastAsia" w:ascii="仿宋" w:hAnsi="仿宋" w:eastAsia="仿宋" w:cs="仿宋"/>
                <w:color w:val="1D1B11"/>
                <w:sz w:val="28"/>
                <w:szCs w:val="28"/>
              </w:rPr>
            </w:pPr>
            <w:r>
              <w:rPr>
                <w:rFonts w:hint="eastAsia" w:ascii="仿宋" w:hAnsi="仿宋" w:eastAsia="仿宋" w:cs="仿宋"/>
                <w:color w:val="1D1B11"/>
                <w:sz w:val="28"/>
                <w:szCs w:val="28"/>
              </w:rPr>
              <w:t>体制机制等相关保障措施</w:t>
            </w:r>
          </w:p>
        </w:tc>
        <w:tc>
          <w:tcPr>
            <w:tcW w:w="7938" w:type="dxa"/>
          </w:tcPr>
          <w:p>
            <w:pPr>
              <w:numPr>
                <w:ilvl w:val="0"/>
                <w:numId w:val="6"/>
              </w:numPr>
              <w:spacing w:line="360" w:lineRule="exact"/>
              <w:rPr>
                <w:rFonts w:hint="eastAsia" w:ascii="仿宋" w:hAnsi="仿宋" w:eastAsia="仿宋" w:cs="仿宋"/>
                <w:color w:val="1D1B11"/>
                <w:sz w:val="28"/>
                <w:szCs w:val="28"/>
              </w:rPr>
            </w:pPr>
            <w:r>
              <w:rPr>
                <w:rFonts w:hint="eastAsia" w:ascii="仿宋" w:hAnsi="仿宋" w:eastAsia="仿宋" w:cs="仿宋"/>
                <w:color w:val="1D1B11"/>
                <w:sz w:val="28"/>
                <w:szCs w:val="28"/>
              </w:rPr>
              <w:t>生源方面，拟扩大优秀本科生推荐免试攻读硕士研究生比例，将我校培养的优秀本科生推荐为专业硕士的基础生源。同时建立与媒体联合培养机制，扩大委托培养数量。</w:t>
            </w:r>
          </w:p>
          <w:p>
            <w:pPr>
              <w:numPr>
                <w:ilvl w:val="0"/>
                <w:numId w:val="6"/>
              </w:numPr>
              <w:spacing w:line="360" w:lineRule="exact"/>
              <w:rPr>
                <w:rFonts w:hint="eastAsia" w:ascii="仿宋" w:hAnsi="仿宋" w:eastAsia="仿宋" w:cs="仿宋"/>
                <w:color w:val="1D1B11"/>
                <w:sz w:val="28"/>
                <w:szCs w:val="28"/>
              </w:rPr>
            </w:pPr>
            <w:r>
              <w:rPr>
                <w:rFonts w:hint="eastAsia" w:ascii="仿宋" w:hAnsi="仿宋" w:eastAsia="仿宋" w:cs="仿宋"/>
                <w:color w:val="1D1B11"/>
                <w:sz w:val="28"/>
                <w:szCs w:val="28"/>
              </w:rPr>
              <w:t>拟试行双导师培养模式，由一名校内教师指导理论学习，一名校外业界兼职导师指导业务实践，以提升专业硕士的实践能力。</w:t>
            </w:r>
          </w:p>
          <w:p>
            <w:pPr>
              <w:numPr>
                <w:ilvl w:val="0"/>
                <w:numId w:val="6"/>
              </w:numPr>
              <w:spacing w:line="360" w:lineRule="exact"/>
              <w:rPr>
                <w:rFonts w:hint="eastAsia" w:ascii="仿宋" w:hAnsi="仿宋" w:eastAsia="仿宋" w:cs="仿宋"/>
                <w:color w:val="1D1B11"/>
                <w:sz w:val="28"/>
                <w:szCs w:val="28"/>
              </w:rPr>
            </w:pPr>
            <w:r>
              <w:rPr>
                <w:rFonts w:hint="eastAsia" w:ascii="仿宋" w:hAnsi="仿宋" w:eastAsia="仿宋" w:cs="仿宋"/>
                <w:color w:val="1D1B11"/>
                <w:sz w:val="28"/>
                <w:szCs w:val="28"/>
              </w:rPr>
              <w:t>在论文设计方面，拟由实践作品替代传统论文。</w:t>
            </w:r>
          </w:p>
        </w:tc>
      </w:tr>
    </w:tbl>
    <w:p>
      <w:pPr>
        <w:spacing w:line="480" w:lineRule="auto"/>
        <w:jc w:val="left"/>
        <w:rPr>
          <w:rFonts w:hint="eastAsia" w:ascii="仿宋" w:hAnsi="仿宋" w:eastAsia="仿宋" w:cs="仿宋"/>
          <w:b/>
          <w:bCs/>
          <w:color w:val="1D1B11"/>
          <w:sz w:val="28"/>
          <w:szCs w:val="28"/>
        </w:rPr>
      </w:pPr>
      <w:r>
        <w:rPr>
          <w:rFonts w:hint="eastAsia" w:ascii="仿宋" w:hAnsi="仿宋" w:eastAsia="仿宋" w:cs="仿宋"/>
          <w:b/>
          <w:bCs/>
          <w:color w:val="1D1B11"/>
          <w:sz w:val="28"/>
          <w:szCs w:val="28"/>
        </w:rPr>
        <w:t>Ⅷ</w:t>
      </w:r>
      <w:r>
        <w:rPr>
          <w:rFonts w:hint="eastAsia" w:ascii="仿宋" w:hAnsi="仿宋" w:eastAsia="仿宋" w:cs="仿宋"/>
          <w:b/>
          <w:color w:val="1D1B11"/>
          <w:sz w:val="28"/>
          <w:szCs w:val="28"/>
        </w:rPr>
        <w:t xml:space="preserve"> </w:t>
      </w:r>
      <w:r>
        <w:rPr>
          <w:rFonts w:hint="eastAsia" w:ascii="仿宋" w:hAnsi="仿宋" w:eastAsia="仿宋" w:cs="仿宋"/>
          <w:b/>
          <w:bCs/>
          <w:color w:val="1D1B11"/>
          <w:sz w:val="28"/>
          <w:szCs w:val="28"/>
        </w:rPr>
        <w:t>申报单位审核意见</w:t>
      </w:r>
    </w:p>
    <w:tbl>
      <w:tblPr>
        <w:tblStyle w:val="7"/>
        <w:tblW w:w="9100" w:type="dxa"/>
        <w:tblInd w:w="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4615" w:hRule="atLeast"/>
        </w:trPr>
        <w:tc>
          <w:tcPr>
            <w:tcW w:w="9100" w:type="dxa"/>
            <w:tcBorders>
              <w:bottom w:val="single" w:color="auto" w:sz="4" w:space="0"/>
            </w:tcBorders>
          </w:tcPr>
          <w:p>
            <w:pPr>
              <w:ind w:right="420"/>
              <w:rPr>
                <w:rFonts w:hint="eastAsia" w:ascii="仿宋" w:hAnsi="仿宋" w:eastAsia="仿宋" w:cs="仿宋"/>
                <w:color w:val="1D1B11"/>
                <w:sz w:val="28"/>
                <w:szCs w:val="28"/>
              </w:rPr>
            </w:pPr>
            <w:r>
              <w:rPr>
                <w:rFonts w:hint="eastAsia" w:ascii="仿宋" w:hAnsi="仿宋" w:eastAsia="仿宋" w:cs="仿宋"/>
                <w:color w:val="1D1B11"/>
                <w:sz w:val="28"/>
                <w:szCs w:val="28"/>
              </w:rPr>
              <w:t>申报单位学位评定委员会意见：</w:t>
            </w:r>
          </w:p>
          <w:p>
            <w:pPr>
              <w:spacing w:line="300" w:lineRule="atLeast"/>
              <w:rPr>
                <w:rFonts w:hint="eastAsia" w:ascii="仿宋" w:hAnsi="仿宋" w:eastAsia="仿宋" w:cs="仿宋"/>
                <w:color w:val="1D1B11"/>
                <w:sz w:val="28"/>
                <w:szCs w:val="28"/>
              </w:rPr>
            </w:pPr>
          </w:p>
          <w:p>
            <w:pPr>
              <w:spacing w:line="300" w:lineRule="atLeast"/>
              <w:rPr>
                <w:rFonts w:hint="eastAsia" w:ascii="仿宋" w:hAnsi="仿宋" w:eastAsia="仿宋" w:cs="仿宋"/>
                <w:color w:val="1D1B11"/>
                <w:sz w:val="28"/>
                <w:szCs w:val="28"/>
              </w:rPr>
            </w:pPr>
          </w:p>
          <w:p>
            <w:pPr>
              <w:spacing w:line="300" w:lineRule="atLeast"/>
              <w:rPr>
                <w:rFonts w:hint="eastAsia" w:ascii="仿宋" w:hAnsi="仿宋" w:eastAsia="仿宋" w:cs="仿宋"/>
                <w:color w:val="1D1B11"/>
                <w:sz w:val="28"/>
                <w:szCs w:val="28"/>
              </w:rPr>
            </w:pPr>
          </w:p>
          <w:p>
            <w:pPr>
              <w:spacing w:line="300" w:lineRule="atLeast"/>
              <w:rPr>
                <w:rFonts w:hint="eastAsia" w:ascii="仿宋" w:hAnsi="仿宋" w:eastAsia="仿宋" w:cs="仿宋"/>
                <w:color w:val="1D1B11"/>
                <w:sz w:val="28"/>
                <w:szCs w:val="28"/>
              </w:rPr>
            </w:pPr>
          </w:p>
          <w:p>
            <w:pPr>
              <w:spacing w:line="300" w:lineRule="atLeast"/>
              <w:rPr>
                <w:rFonts w:hint="eastAsia" w:ascii="仿宋" w:hAnsi="仿宋" w:eastAsia="仿宋" w:cs="仿宋"/>
                <w:color w:val="1D1B11"/>
                <w:sz w:val="28"/>
                <w:szCs w:val="28"/>
              </w:rPr>
            </w:pPr>
          </w:p>
          <w:p>
            <w:pPr>
              <w:spacing w:line="300" w:lineRule="atLeast"/>
              <w:rPr>
                <w:rFonts w:hint="eastAsia" w:ascii="仿宋" w:hAnsi="仿宋" w:eastAsia="仿宋" w:cs="仿宋"/>
                <w:color w:val="1D1B11"/>
                <w:sz w:val="28"/>
                <w:szCs w:val="28"/>
              </w:rPr>
            </w:pPr>
          </w:p>
          <w:p>
            <w:pPr>
              <w:spacing w:line="300" w:lineRule="atLeast"/>
              <w:ind w:firstLine="6720" w:firstLineChars="2400"/>
              <w:rPr>
                <w:rFonts w:hint="eastAsia" w:ascii="仿宋" w:hAnsi="仿宋" w:eastAsia="仿宋" w:cs="仿宋"/>
                <w:color w:val="1D1B11"/>
                <w:sz w:val="28"/>
                <w:szCs w:val="28"/>
              </w:rPr>
            </w:pPr>
            <w:r>
              <w:rPr>
                <w:rFonts w:hint="eastAsia" w:ascii="仿宋" w:hAnsi="仿宋" w:eastAsia="仿宋" w:cs="仿宋"/>
                <w:color w:val="1D1B11"/>
                <w:sz w:val="28"/>
                <w:szCs w:val="28"/>
              </w:rPr>
              <w:t>（公章）</w:t>
            </w:r>
          </w:p>
          <w:p>
            <w:pPr>
              <w:spacing w:line="300" w:lineRule="atLeast"/>
              <w:ind w:right="480"/>
              <w:jc w:val="center"/>
              <w:rPr>
                <w:rFonts w:hint="eastAsia" w:ascii="仿宋" w:hAnsi="仿宋" w:eastAsia="仿宋" w:cs="仿宋"/>
                <w:color w:val="1D1B11"/>
                <w:sz w:val="28"/>
                <w:szCs w:val="28"/>
              </w:rPr>
            </w:pPr>
            <w:r>
              <w:rPr>
                <w:rFonts w:hint="eastAsia" w:ascii="仿宋" w:hAnsi="仿宋" w:eastAsia="仿宋" w:cs="仿宋"/>
                <w:color w:val="1D1B11"/>
                <w:sz w:val="28"/>
                <w:szCs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366" w:hRule="atLeast"/>
        </w:trPr>
        <w:tc>
          <w:tcPr>
            <w:tcW w:w="9100" w:type="dxa"/>
            <w:tcBorders>
              <w:top w:val="single" w:color="auto" w:sz="4" w:space="0"/>
            </w:tcBorders>
          </w:tcPr>
          <w:p>
            <w:pPr>
              <w:spacing w:line="300" w:lineRule="atLeast"/>
              <w:rPr>
                <w:rFonts w:hint="eastAsia" w:ascii="仿宋" w:hAnsi="仿宋" w:eastAsia="仿宋" w:cs="仿宋"/>
                <w:color w:val="1D1B11"/>
                <w:sz w:val="28"/>
                <w:szCs w:val="28"/>
              </w:rPr>
            </w:pPr>
            <w:r>
              <w:rPr>
                <w:rFonts w:hint="eastAsia" w:ascii="仿宋" w:hAnsi="仿宋" w:eastAsia="仿宋" w:cs="仿宋"/>
                <w:color w:val="1D1B11"/>
                <w:sz w:val="28"/>
                <w:szCs w:val="28"/>
              </w:rPr>
              <w:t>申报单位意见：</w:t>
            </w:r>
          </w:p>
          <w:p>
            <w:pPr>
              <w:tabs>
                <w:tab w:val="left" w:pos="1410"/>
              </w:tabs>
              <w:spacing w:line="300" w:lineRule="atLeast"/>
              <w:rPr>
                <w:rFonts w:hint="eastAsia" w:ascii="仿宋" w:hAnsi="仿宋" w:eastAsia="仿宋" w:cs="仿宋"/>
                <w:color w:val="1D1B11"/>
                <w:sz w:val="28"/>
                <w:szCs w:val="28"/>
              </w:rPr>
            </w:pPr>
            <w:r>
              <w:rPr>
                <w:rFonts w:hint="eastAsia" w:ascii="仿宋" w:hAnsi="仿宋" w:eastAsia="仿宋" w:cs="仿宋"/>
                <w:color w:val="1D1B11"/>
                <w:sz w:val="28"/>
                <w:szCs w:val="28"/>
              </w:rPr>
              <w:t xml:space="preserve">                                  </w:t>
            </w:r>
          </w:p>
          <w:p>
            <w:pPr>
              <w:tabs>
                <w:tab w:val="left" w:pos="1410"/>
              </w:tabs>
              <w:spacing w:line="300" w:lineRule="atLeast"/>
              <w:rPr>
                <w:rFonts w:hint="eastAsia" w:ascii="仿宋" w:hAnsi="仿宋" w:eastAsia="仿宋" w:cs="仿宋"/>
                <w:color w:val="1D1B11"/>
                <w:sz w:val="28"/>
                <w:szCs w:val="28"/>
              </w:rPr>
            </w:pPr>
          </w:p>
          <w:p>
            <w:pPr>
              <w:tabs>
                <w:tab w:val="left" w:pos="1410"/>
              </w:tabs>
              <w:spacing w:line="300" w:lineRule="atLeast"/>
              <w:rPr>
                <w:rFonts w:hint="eastAsia" w:ascii="仿宋" w:hAnsi="仿宋" w:eastAsia="仿宋" w:cs="仿宋"/>
                <w:color w:val="1D1B11"/>
                <w:sz w:val="28"/>
                <w:szCs w:val="28"/>
              </w:rPr>
            </w:pPr>
          </w:p>
          <w:p>
            <w:pPr>
              <w:tabs>
                <w:tab w:val="left" w:pos="1410"/>
              </w:tabs>
              <w:spacing w:line="300" w:lineRule="atLeast"/>
              <w:rPr>
                <w:rFonts w:hint="eastAsia" w:ascii="仿宋" w:hAnsi="仿宋" w:eastAsia="仿宋" w:cs="仿宋"/>
                <w:color w:val="1D1B11"/>
                <w:sz w:val="28"/>
                <w:szCs w:val="28"/>
              </w:rPr>
            </w:pPr>
          </w:p>
          <w:p>
            <w:pPr>
              <w:tabs>
                <w:tab w:val="left" w:pos="1410"/>
              </w:tabs>
              <w:spacing w:line="300" w:lineRule="atLeast"/>
              <w:rPr>
                <w:rFonts w:hint="eastAsia" w:ascii="仿宋" w:hAnsi="仿宋" w:eastAsia="仿宋" w:cs="仿宋"/>
                <w:color w:val="1D1B11"/>
                <w:sz w:val="28"/>
                <w:szCs w:val="28"/>
              </w:rPr>
            </w:pPr>
          </w:p>
          <w:p>
            <w:pPr>
              <w:tabs>
                <w:tab w:val="left" w:pos="1410"/>
              </w:tabs>
              <w:spacing w:line="300" w:lineRule="atLeast"/>
              <w:rPr>
                <w:rFonts w:hint="eastAsia" w:ascii="仿宋" w:hAnsi="仿宋" w:eastAsia="仿宋" w:cs="仿宋"/>
                <w:color w:val="1D1B11"/>
                <w:sz w:val="28"/>
                <w:szCs w:val="28"/>
              </w:rPr>
            </w:pPr>
          </w:p>
          <w:p>
            <w:pPr>
              <w:tabs>
                <w:tab w:val="left" w:pos="1410"/>
              </w:tabs>
              <w:spacing w:line="300" w:lineRule="atLeast"/>
              <w:rPr>
                <w:rFonts w:hint="eastAsia" w:ascii="仿宋" w:hAnsi="仿宋" w:eastAsia="仿宋" w:cs="仿宋"/>
                <w:color w:val="1D1B11"/>
                <w:sz w:val="28"/>
                <w:szCs w:val="28"/>
              </w:rPr>
            </w:pPr>
          </w:p>
          <w:p>
            <w:pPr>
              <w:tabs>
                <w:tab w:val="left" w:pos="1410"/>
              </w:tabs>
              <w:spacing w:line="300" w:lineRule="atLeast"/>
              <w:rPr>
                <w:rFonts w:hint="eastAsia" w:ascii="仿宋" w:hAnsi="仿宋" w:eastAsia="仿宋" w:cs="仿宋"/>
                <w:color w:val="1D1B11"/>
                <w:sz w:val="28"/>
                <w:szCs w:val="28"/>
              </w:rPr>
            </w:pPr>
          </w:p>
          <w:p>
            <w:pPr>
              <w:tabs>
                <w:tab w:val="left" w:pos="1410"/>
              </w:tabs>
              <w:spacing w:line="300" w:lineRule="atLeast"/>
              <w:rPr>
                <w:rFonts w:hint="eastAsia" w:ascii="仿宋" w:hAnsi="仿宋" w:eastAsia="仿宋" w:cs="仿宋"/>
                <w:color w:val="1D1B11"/>
                <w:sz w:val="28"/>
                <w:szCs w:val="28"/>
              </w:rPr>
            </w:pPr>
          </w:p>
          <w:p>
            <w:pPr>
              <w:tabs>
                <w:tab w:val="left" w:pos="1410"/>
              </w:tabs>
              <w:spacing w:line="300" w:lineRule="atLeast"/>
              <w:rPr>
                <w:rFonts w:hint="eastAsia" w:ascii="仿宋" w:hAnsi="仿宋" w:eastAsia="仿宋" w:cs="仿宋"/>
                <w:color w:val="1D1B11"/>
                <w:sz w:val="28"/>
                <w:szCs w:val="28"/>
              </w:rPr>
            </w:pPr>
          </w:p>
          <w:p>
            <w:pPr>
              <w:tabs>
                <w:tab w:val="left" w:pos="1410"/>
              </w:tabs>
              <w:spacing w:line="300" w:lineRule="atLeast"/>
              <w:rPr>
                <w:rFonts w:hint="eastAsia" w:ascii="仿宋" w:hAnsi="仿宋" w:eastAsia="仿宋" w:cs="仿宋"/>
                <w:color w:val="1D1B11"/>
                <w:sz w:val="28"/>
                <w:szCs w:val="28"/>
              </w:rPr>
            </w:pPr>
          </w:p>
          <w:p>
            <w:pPr>
              <w:tabs>
                <w:tab w:val="left" w:pos="1410"/>
              </w:tabs>
              <w:spacing w:line="300" w:lineRule="atLeast"/>
              <w:rPr>
                <w:rFonts w:hint="eastAsia" w:ascii="仿宋" w:hAnsi="仿宋" w:eastAsia="仿宋" w:cs="仿宋"/>
                <w:color w:val="1D1B11"/>
                <w:sz w:val="28"/>
                <w:szCs w:val="28"/>
              </w:rPr>
            </w:pPr>
          </w:p>
          <w:p>
            <w:pPr>
              <w:tabs>
                <w:tab w:val="left" w:pos="1410"/>
              </w:tabs>
              <w:spacing w:line="300" w:lineRule="atLeast"/>
              <w:rPr>
                <w:rFonts w:hint="eastAsia" w:ascii="仿宋" w:hAnsi="仿宋" w:eastAsia="仿宋" w:cs="仿宋"/>
                <w:color w:val="1D1B11"/>
                <w:sz w:val="28"/>
                <w:szCs w:val="28"/>
              </w:rPr>
            </w:pPr>
          </w:p>
          <w:p>
            <w:pPr>
              <w:tabs>
                <w:tab w:val="left" w:pos="1410"/>
              </w:tabs>
              <w:spacing w:line="300" w:lineRule="atLeast"/>
              <w:rPr>
                <w:rFonts w:hint="eastAsia" w:ascii="仿宋" w:hAnsi="仿宋" w:eastAsia="仿宋" w:cs="仿宋"/>
                <w:color w:val="1D1B11"/>
                <w:sz w:val="28"/>
                <w:szCs w:val="28"/>
              </w:rPr>
            </w:pPr>
          </w:p>
          <w:p>
            <w:pPr>
              <w:tabs>
                <w:tab w:val="left" w:pos="1410"/>
              </w:tabs>
              <w:spacing w:line="300" w:lineRule="atLeast"/>
              <w:rPr>
                <w:rFonts w:hint="eastAsia" w:ascii="仿宋" w:hAnsi="仿宋" w:eastAsia="仿宋" w:cs="仿宋"/>
                <w:color w:val="1D1B11"/>
                <w:sz w:val="28"/>
                <w:szCs w:val="28"/>
              </w:rPr>
            </w:pPr>
          </w:p>
          <w:p>
            <w:pPr>
              <w:tabs>
                <w:tab w:val="left" w:pos="1410"/>
              </w:tabs>
              <w:spacing w:line="300" w:lineRule="atLeast"/>
              <w:rPr>
                <w:rFonts w:hint="eastAsia" w:ascii="仿宋" w:hAnsi="仿宋" w:eastAsia="仿宋" w:cs="仿宋"/>
                <w:color w:val="1D1B11"/>
                <w:sz w:val="28"/>
                <w:szCs w:val="28"/>
              </w:rPr>
            </w:pPr>
          </w:p>
          <w:p>
            <w:pPr>
              <w:spacing w:line="300" w:lineRule="atLeast"/>
              <w:ind w:firstLine="6720" w:firstLineChars="2400"/>
              <w:rPr>
                <w:rFonts w:hint="eastAsia" w:ascii="仿宋" w:hAnsi="仿宋" w:eastAsia="仿宋" w:cs="仿宋"/>
                <w:color w:val="1D1B11"/>
                <w:sz w:val="28"/>
                <w:szCs w:val="28"/>
              </w:rPr>
            </w:pPr>
            <w:r>
              <w:rPr>
                <w:rFonts w:hint="eastAsia" w:ascii="仿宋" w:hAnsi="仿宋" w:eastAsia="仿宋" w:cs="仿宋"/>
                <w:color w:val="1D1B11"/>
                <w:sz w:val="28"/>
                <w:szCs w:val="28"/>
              </w:rPr>
              <w:t xml:space="preserve">（公章）          </w:t>
            </w:r>
          </w:p>
          <w:p>
            <w:pPr>
              <w:spacing w:line="300" w:lineRule="atLeast"/>
              <w:rPr>
                <w:rFonts w:hint="eastAsia" w:ascii="仿宋" w:hAnsi="仿宋" w:eastAsia="仿宋" w:cs="仿宋"/>
                <w:color w:val="1D1B11"/>
                <w:sz w:val="28"/>
                <w:szCs w:val="28"/>
              </w:rPr>
            </w:pPr>
            <w:r>
              <w:rPr>
                <w:rFonts w:hint="eastAsia" w:ascii="仿宋" w:hAnsi="仿宋" w:eastAsia="仿宋" w:cs="仿宋"/>
                <w:color w:val="1D1B11"/>
                <w:sz w:val="28"/>
                <w:szCs w:val="28"/>
              </w:rPr>
              <w:t xml:space="preserve">                                               年   月   日</w:t>
            </w:r>
          </w:p>
          <w:p>
            <w:pPr>
              <w:spacing w:line="300" w:lineRule="atLeast"/>
              <w:rPr>
                <w:rFonts w:hint="eastAsia" w:ascii="仿宋" w:hAnsi="仿宋" w:eastAsia="仿宋" w:cs="仿宋"/>
                <w:color w:val="1D1B11"/>
                <w:sz w:val="28"/>
                <w:szCs w:val="28"/>
              </w:rPr>
            </w:pPr>
          </w:p>
          <w:p>
            <w:pPr>
              <w:spacing w:line="300" w:lineRule="atLeast"/>
              <w:rPr>
                <w:rFonts w:hint="eastAsia" w:ascii="仿宋" w:hAnsi="仿宋" w:eastAsia="仿宋" w:cs="仿宋"/>
                <w:color w:val="1D1B11"/>
                <w:sz w:val="28"/>
                <w:szCs w:val="28"/>
              </w:rPr>
            </w:pPr>
          </w:p>
        </w:tc>
      </w:tr>
    </w:tbl>
    <w:p>
      <w:pPr>
        <w:spacing w:line="360" w:lineRule="auto"/>
        <w:rPr>
          <w:rFonts w:hint="eastAsia" w:ascii="仿宋" w:hAnsi="仿宋" w:eastAsia="仿宋" w:cs="仿宋"/>
          <w:bCs/>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2010601030101010101"/>
    <w:charset w:val="86"/>
    <w:family w:val="script"/>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rPr>
    </w:pPr>
    <w:r>
      <w:rPr>
        <w:rFonts w:hint="eastAsia"/>
        <w:sz w:val="24"/>
      </w:rPr>
      <w:t>-</w:t>
    </w:r>
    <w:r>
      <w:rPr>
        <w:sz w:val="24"/>
      </w:rPr>
      <w:fldChar w:fldCharType="begin"/>
    </w:r>
    <w:r>
      <w:rPr>
        <w:sz w:val="24"/>
      </w:rPr>
      <w:instrText xml:space="preserve"> PAGE   \* MERGEFORMAT </w:instrText>
    </w:r>
    <w:r>
      <w:rPr>
        <w:sz w:val="24"/>
      </w:rPr>
      <w:fldChar w:fldCharType="separate"/>
    </w:r>
    <w:r>
      <w:rPr>
        <w:sz w:val="24"/>
        <w:lang w:val="zh-CN"/>
      </w:rPr>
      <w:t>21</w:t>
    </w:r>
    <w:r>
      <w:rPr>
        <w:sz w:val="24"/>
      </w:rPr>
      <w:fldChar w:fldCharType="end"/>
    </w:r>
    <w:r>
      <w:rPr>
        <w:rFonts w:hint="eastAsia"/>
        <w:sz w:val="24"/>
      </w:rPr>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rPr>
    </w:pPr>
    <w:r>
      <w:rPr>
        <w:rFonts w:hint="eastAsia"/>
        <w:sz w:val="24"/>
      </w:rPr>
      <w:t>-</w:t>
    </w:r>
    <w:r>
      <w:rPr>
        <w:sz w:val="24"/>
      </w:rPr>
      <w:fldChar w:fldCharType="begin"/>
    </w:r>
    <w:r>
      <w:rPr>
        <w:sz w:val="24"/>
      </w:rPr>
      <w:instrText xml:space="preserve"> PAGE   \* MERGEFORMAT </w:instrText>
    </w:r>
    <w:r>
      <w:rPr>
        <w:sz w:val="24"/>
      </w:rPr>
      <w:fldChar w:fldCharType="separate"/>
    </w:r>
    <w:r>
      <w:rPr>
        <w:sz w:val="24"/>
        <w:lang w:val="zh-CN"/>
      </w:rPr>
      <w:t>22</w:t>
    </w:r>
    <w:r>
      <w:rPr>
        <w:sz w:val="24"/>
      </w:rPr>
      <w:fldChar w:fldCharType="end"/>
    </w:r>
    <w:r>
      <w:rPr>
        <w:rFonts w:hint="eastAsia"/>
        <w:sz w:val="2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rPr>
    </w:pPr>
    <w:r>
      <w:rPr>
        <w:rFonts w:hint="eastAsia"/>
        <w:sz w:val="24"/>
      </w:rPr>
      <w:t>-</w:t>
    </w:r>
    <w:r>
      <w:rPr>
        <w:sz w:val="24"/>
      </w:rPr>
      <w:fldChar w:fldCharType="begin"/>
    </w:r>
    <w:r>
      <w:rPr>
        <w:sz w:val="24"/>
      </w:rPr>
      <w:instrText xml:space="preserve"> PAGE   \* MERGEFORMAT </w:instrText>
    </w:r>
    <w:r>
      <w:rPr>
        <w:sz w:val="24"/>
      </w:rPr>
      <w:fldChar w:fldCharType="separate"/>
    </w:r>
    <w:r>
      <w:rPr>
        <w:sz w:val="24"/>
        <w:lang w:val="zh-CN"/>
      </w:rPr>
      <w:t>23</w:t>
    </w:r>
    <w:r>
      <w:rPr>
        <w:sz w:val="24"/>
      </w:rPr>
      <w:fldChar w:fldCharType="end"/>
    </w:r>
    <w:r>
      <w:rPr>
        <w:rFonts w:hint="eastAsia"/>
        <w:sz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412F07"/>
    <w:multiLevelType w:val="singleLevel"/>
    <w:tmpl w:val="C2412F07"/>
    <w:lvl w:ilvl="0" w:tentative="0">
      <w:start w:val="2"/>
      <w:numFmt w:val="chineseCounting"/>
      <w:suff w:val="nothing"/>
      <w:lvlText w:val="%1、"/>
      <w:lvlJc w:val="left"/>
      <w:rPr>
        <w:rFonts w:hint="eastAsia"/>
      </w:rPr>
    </w:lvl>
  </w:abstractNum>
  <w:abstractNum w:abstractNumId="1">
    <w:nsid w:val="F25EABB3"/>
    <w:multiLevelType w:val="singleLevel"/>
    <w:tmpl w:val="F25EABB3"/>
    <w:lvl w:ilvl="0" w:tentative="0">
      <w:start w:val="1"/>
      <w:numFmt w:val="decimal"/>
      <w:lvlText w:val="%1."/>
      <w:lvlJc w:val="left"/>
      <w:pPr>
        <w:tabs>
          <w:tab w:val="left" w:pos="312"/>
        </w:tabs>
      </w:pPr>
    </w:lvl>
  </w:abstractNum>
  <w:abstractNum w:abstractNumId="2">
    <w:nsid w:val="28835348"/>
    <w:multiLevelType w:val="singleLevel"/>
    <w:tmpl w:val="28835348"/>
    <w:lvl w:ilvl="0" w:tentative="0">
      <w:start w:val="2"/>
      <w:numFmt w:val="decimal"/>
      <w:suff w:val="nothing"/>
      <w:lvlText w:val="（%1）"/>
      <w:lvlJc w:val="left"/>
    </w:lvl>
  </w:abstractNum>
  <w:abstractNum w:abstractNumId="3">
    <w:nsid w:val="52C862A0"/>
    <w:multiLevelType w:val="singleLevel"/>
    <w:tmpl w:val="52C862A0"/>
    <w:lvl w:ilvl="0" w:tentative="0">
      <w:start w:val="1"/>
      <w:numFmt w:val="decimal"/>
      <w:suff w:val="nothing"/>
      <w:lvlText w:val="%1、"/>
      <w:lvlJc w:val="left"/>
    </w:lvl>
  </w:abstractNum>
  <w:abstractNum w:abstractNumId="4">
    <w:nsid w:val="52CAC378"/>
    <w:multiLevelType w:val="singleLevel"/>
    <w:tmpl w:val="52CAC378"/>
    <w:lvl w:ilvl="0" w:tentative="0">
      <w:start w:val="1"/>
      <w:numFmt w:val="chineseCounting"/>
      <w:suff w:val="nothing"/>
      <w:lvlText w:val="%1、"/>
      <w:lvlJc w:val="left"/>
    </w:lvl>
  </w:abstractNum>
  <w:abstractNum w:abstractNumId="5">
    <w:nsid w:val="52CAC4D3"/>
    <w:multiLevelType w:val="singleLevel"/>
    <w:tmpl w:val="52CAC4D3"/>
    <w:lvl w:ilvl="0" w:tentative="0">
      <w:start w:val="2"/>
      <w:numFmt w:val="chineseCounting"/>
      <w:suff w:val="nothing"/>
      <w:lvlText w:val="%1、"/>
      <w:lvlJc w:val="left"/>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gutterAtTop/>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14D1"/>
    <w:rsid w:val="001007F6"/>
    <w:rsid w:val="00164C58"/>
    <w:rsid w:val="00172A27"/>
    <w:rsid w:val="0021126A"/>
    <w:rsid w:val="00214E8F"/>
    <w:rsid w:val="002213F1"/>
    <w:rsid w:val="00275D82"/>
    <w:rsid w:val="002C546B"/>
    <w:rsid w:val="003046A2"/>
    <w:rsid w:val="003410C2"/>
    <w:rsid w:val="003F7337"/>
    <w:rsid w:val="0040033E"/>
    <w:rsid w:val="0047101F"/>
    <w:rsid w:val="004B0646"/>
    <w:rsid w:val="004B2B34"/>
    <w:rsid w:val="005175A3"/>
    <w:rsid w:val="00653102"/>
    <w:rsid w:val="0068312F"/>
    <w:rsid w:val="006D692A"/>
    <w:rsid w:val="0070352E"/>
    <w:rsid w:val="00741953"/>
    <w:rsid w:val="007C0962"/>
    <w:rsid w:val="007C4AE7"/>
    <w:rsid w:val="007E7799"/>
    <w:rsid w:val="00951562"/>
    <w:rsid w:val="00A35112"/>
    <w:rsid w:val="00AC1A75"/>
    <w:rsid w:val="00B84117"/>
    <w:rsid w:val="00BD0B78"/>
    <w:rsid w:val="00BF067D"/>
    <w:rsid w:val="00C22ADF"/>
    <w:rsid w:val="00C4483B"/>
    <w:rsid w:val="00C470A7"/>
    <w:rsid w:val="00D113FC"/>
    <w:rsid w:val="00D16D73"/>
    <w:rsid w:val="00D613AF"/>
    <w:rsid w:val="00E00FD6"/>
    <w:rsid w:val="00E117A2"/>
    <w:rsid w:val="00E87F61"/>
    <w:rsid w:val="00EA13AB"/>
    <w:rsid w:val="00EB2D5B"/>
    <w:rsid w:val="00F446AD"/>
    <w:rsid w:val="00F626D0"/>
    <w:rsid w:val="00F85BB1"/>
    <w:rsid w:val="03352AB9"/>
    <w:rsid w:val="0ACA7F92"/>
    <w:rsid w:val="11D71988"/>
    <w:rsid w:val="17AD5D97"/>
    <w:rsid w:val="1B9E744F"/>
    <w:rsid w:val="1EE23D6F"/>
    <w:rsid w:val="248E3AE9"/>
    <w:rsid w:val="258A61BA"/>
    <w:rsid w:val="25AD67F3"/>
    <w:rsid w:val="28886C29"/>
    <w:rsid w:val="2A3E67BF"/>
    <w:rsid w:val="2D894D9C"/>
    <w:rsid w:val="2EB73D8A"/>
    <w:rsid w:val="3E736213"/>
    <w:rsid w:val="42E74BBA"/>
    <w:rsid w:val="4D1054FE"/>
    <w:rsid w:val="56EB21DA"/>
    <w:rsid w:val="5C5F10A1"/>
    <w:rsid w:val="5CA9689E"/>
    <w:rsid w:val="66F21E11"/>
    <w:rsid w:val="7F652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szCs w:val="22"/>
    </w:rPr>
  </w:style>
  <w:style w:type="paragraph" w:styleId="3">
    <w:name w:val="Plain Text"/>
    <w:basedOn w:val="1"/>
    <w:qFormat/>
    <w:uiPriority w:val="0"/>
    <w:rPr>
      <w:rFonts w:ascii="宋体" w:hAnsi="Courier New"/>
      <w:szCs w:val="22"/>
    </w:r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bCs/>
    </w:rPr>
  </w:style>
  <w:style w:type="paragraph" w:customStyle="1" w:styleId="10">
    <w:name w:val="标准"/>
    <w:basedOn w:val="1"/>
    <w:qFormat/>
    <w:uiPriority w:val="99"/>
    <w:pPr>
      <w:adjustRightInd w:val="0"/>
      <w:spacing w:before="120" w:after="120" w:line="312" w:lineRule="atLeast"/>
      <w:textAlignment w:val="baseline"/>
    </w:pPr>
    <w:rPr>
      <w:rFonts w:ascii="宋体" w:cs="宋体"/>
      <w:kern w:val="0"/>
      <w:szCs w:val="21"/>
    </w:rPr>
  </w:style>
  <w:style w:type="character" w:customStyle="1" w:styleId="11">
    <w:name w:val="页眉 Char"/>
    <w:link w:val="6"/>
    <w:qFormat/>
    <w:uiPriority w:val="0"/>
    <w:rPr>
      <w:rFonts w:ascii="Calibri" w:hAnsi="Calibri"/>
      <w:kern w:val="2"/>
      <w:sz w:val="18"/>
      <w:szCs w:val="18"/>
    </w:rPr>
  </w:style>
  <w:style w:type="character" w:customStyle="1" w:styleId="12">
    <w:name w:val="批注框文本 Char"/>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2571</Words>
  <Characters>14655</Characters>
  <Lines>122</Lines>
  <Paragraphs>34</Paragraphs>
  <TotalTime>7</TotalTime>
  <ScaleCrop>false</ScaleCrop>
  <LinksUpToDate>false</LinksUpToDate>
  <CharactersWithSpaces>17192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2019-06-21T03:24:00Z</dcterms:created>
  <dc:creator>lenovo</dc:creator>
  <cp:lastModifiedBy>dell</cp:lastModifiedBy>
  <cp:lastPrinted>2019-07-08T06:44:14Z</cp:lastPrinted>
  <dcterms:modified xsi:type="dcterms:W3CDTF">2019-07-08T06:50:30Z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